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55" w:rsidRPr="00CF556B" w:rsidRDefault="00F85A55" w:rsidP="00F85A55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0" t="0" r="0" b="0"/>
            <wp:wrapNone/>
            <wp:docPr id="1" name="Kép 1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56B">
        <w:rPr>
          <w:b/>
        </w:rPr>
        <w:t>Előterjesztés</w:t>
      </w:r>
    </w:p>
    <w:p w:rsidR="00F85A55" w:rsidRPr="00CF556B" w:rsidRDefault="00F85A55" w:rsidP="00F85A55">
      <w:pPr>
        <w:spacing w:line="360" w:lineRule="auto"/>
        <w:ind w:left="720"/>
        <w:jc w:val="center"/>
        <w:rPr>
          <w:b/>
        </w:rPr>
      </w:pPr>
      <w:r w:rsidRPr="00CF556B">
        <w:rPr>
          <w:b/>
        </w:rPr>
        <w:t>Sióagárd Község Önkormányzata Képviselő-testületének</w:t>
      </w:r>
    </w:p>
    <w:p w:rsidR="00F85A55" w:rsidRDefault="00F85A55" w:rsidP="00F85A55">
      <w:pPr>
        <w:spacing w:line="360" w:lineRule="auto"/>
        <w:jc w:val="center"/>
        <w:rPr>
          <w:b/>
        </w:rPr>
      </w:pPr>
      <w:r>
        <w:rPr>
          <w:b/>
        </w:rPr>
        <w:t>2014. január 31</w:t>
      </w:r>
      <w:r w:rsidRPr="00CF556B">
        <w:rPr>
          <w:b/>
        </w:rPr>
        <w:t>-</w:t>
      </w:r>
      <w:r>
        <w:rPr>
          <w:b/>
        </w:rPr>
        <w:t>é</w:t>
      </w:r>
      <w:r w:rsidRPr="00CF556B">
        <w:rPr>
          <w:b/>
        </w:rPr>
        <w:t xml:space="preserve">n tartandó </w:t>
      </w:r>
      <w:proofErr w:type="gramStart"/>
      <w:r w:rsidR="005A1046">
        <w:rPr>
          <w:b/>
        </w:rPr>
        <w:t xml:space="preserve">rendkívüli </w:t>
      </w:r>
      <w:r w:rsidRPr="00CF556B">
        <w:rPr>
          <w:i/>
        </w:rPr>
        <w:t xml:space="preserve"> </w:t>
      </w:r>
      <w:r w:rsidRPr="00CF556B">
        <w:rPr>
          <w:b/>
        </w:rPr>
        <w:t>ülésére</w:t>
      </w:r>
      <w:proofErr w:type="gramEnd"/>
      <w:r w:rsidRPr="00CF556B">
        <w:rPr>
          <w:b/>
        </w:rPr>
        <w:t xml:space="preserve"> </w:t>
      </w:r>
    </w:p>
    <w:p w:rsidR="005A1046" w:rsidRPr="005A1046" w:rsidRDefault="005A1046" w:rsidP="00F85A55">
      <w:pPr>
        <w:spacing w:line="360" w:lineRule="auto"/>
        <w:jc w:val="center"/>
        <w:rPr>
          <w:i/>
        </w:rPr>
      </w:pPr>
      <w:r w:rsidRPr="005A1046">
        <w:rPr>
          <w:i/>
        </w:rPr>
        <w:t>1. számú napirend</w:t>
      </w:r>
    </w:p>
    <w:p w:rsidR="00F85A55" w:rsidRPr="00CF556B" w:rsidRDefault="00F85A55" w:rsidP="00F85A55">
      <w:pPr>
        <w:spacing w:line="360" w:lineRule="auto"/>
        <w:jc w:val="center"/>
        <w:rPr>
          <w:b/>
        </w:rPr>
      </w:pPr>
      <w:bookmarkStart w:id="0" w:name="_GoBack"/>
      <w:bookmarkEnd w:id="0"/>
    </w:p>
    <w:p w:rsidR="00F85A55" w:rsidRPr="00CF556B" w:rsidRDefault="00F85A55" w:rsidP="00F85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i/>
        </w:rPr>
      </w:pPr>
      <w:r w:rsidRPr="00CF556B">
        <w:rPr>
          <w:b/>
        </w:rPr>
        <w:t>Tárgy: Sióagárd Község Önkorm</w:t>
      </w:r>
      <w:r>
        <w:rPr>
          <w:b/>
        </w:rPr>
        <w:t xml:space="preserve">ányzata 2014. évi költségvetésének </w:t>
      </w:r>
      <w:r w:rsidRPr="00CF556B">
        <w:rPr>
          <w:b/>
        </w:rPr>
        <w:t>megtárgyalása</w:t>
      </w:r>
    </w:p>
    <w:p w:rsidR="00F85A55" w:rsidRPr="00CF556B" w:rsidRDefault="00F85A55" w:rsidP="00F85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i/>
        </w:rPr>
      </w:pPr>
      <w:r w:rsidRPr="00CF556B">
        <w:rPr>
          <w:b/>
        </w:rPr>
        <w:t xml:space="preserve">Előterjesztő és előadó: Háry János polgármester </w:t>
      </w:r>
    </w:p>
    <w:p w:rsidR="00F85A55" w:rsidRPr="00CF556B" w:rsidRDefault="00F85A55" w:rsidP="00F85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b/>
        </w:rPr>
      </w:pPr>
      <w:r w:rsidRPr="00CF556B">
        <w:rPr>
          <w:b/>
        </w:rPr>
        <w:t xml:space="preserve">Az előterjesztést készítette: </w:t>
      </w:r>
      <w:r>
        <w:rPr>
          <w:b/>
        </w:rPr>
        <w:t>Balogh Györgyi aljegyző, Hermann Henriet</w:t>
      </w:r>
      <w:r w:rsidRPr="00CF556B">
        <w:rPr>
          <w:b/>
        </w:rPr>
        <w:t>ta gazdasági vezető</w:t>
      </w:r>
    </w:p>
    <w:p w:rsidR="00DA3306" w:rsidRDefault="00DA3306" w:rsidP="00DA3306">
      <w:pPr>
        <w:spacing w:after="0" w:line="360" w:lineRule="auto"/>
        <w:jc w:val="both"/>
      </w:pPr>
    </w:p>
    <w:p w:rsidR="00DA3306" w:rsidRDefault="00DA3306" w:rsidP="00DA3306">
      <w:pPr>
        <w:spacing w:after="0" w:line="360" w:lineRule="auto"/>
        <w:jc w:val="center"/>
      </w:pPr>
      <w:r>
        <w:t>Tisztelt Képviselő-testület!</w:t>
      </w:r>
    </w:p>
    <w:p w:rsidR="00DA3306" w:rsidRDefault="00DA3306" w:rsidP="00DA3306">
      <w:pPr>
        <w:spacing w:after="0" w:line="360" w:lineRule="auto"/>
        <w:jc w:val="both"/>
      </w:pPr>
    </w:p>
    <w:p w:rsidR="00DA3306" w:rsidRDefault="00DA3306" w:rsidP="00DA3306">
      <w:pPr>
        <w:spacing w:after="0" w:line="360" w:lineRule="auto"/>
        <w:jc w:val="both"/>
      </w:pPr>
      <w:r>
        <w:t xml:space="preserve">A helyi önkormányzatok által ellátandó feladatok megvalósításának egyik legfontosabb alapdokumentuma az éves költségvetés, amelyben a Képviselő-testület egész évre meghatározza a gazdálkodással kapcsolatos teendőket, azok kereteit, az egyes ellátási formákban a szükséglet-kielégítés mértékét. Az éves költségvetés tervezésének első szakasza a költségvetési koncepció összeállítása. </w:t>
      </w:r>
    </w:p>
    <w:p w:rsidR="00DA3306" w:rsidRDefault="00DA3306" w:rsidP="00DA3306">
      <w:pPr>
        <w:spacing w:after="0" w:line="360" w:lineRule="auto"/>
        <w:jc w:val="both"/>
      </w:pPr>
    </w:p>
    <w:p w:rsidR="00DA3306" w:rsidRDefault="00DA3306" w:rsidP="00DA3306">
      <w:pPr>
        <w:spacing w:after="0" w:line="360" w:lineRule="auto"/>
        <w:jc w:val="both"/>
      </w:pPr>
      <w:r>
        <w:t xml:space="preserve">A kormányváltás óta a gazdaságpolitika célja továbbra is az államadósság csökkentése, a költségvetési hiány 3 % alatt tartása, a foglalkoztatás bővítése, a versenyképesség javítása és a kiegyensúlyozott gazdasági növekedés biztosítása. Ennek érdekében a Kormány az elmúlt 3 és fél évben jelentős strukturális átalakításokat hajtott végre, többek között a munkaerőpiac, a nyugdíjrendszer, az adórendszer, az oktatás és a közigazgatás területén. </w:t>
      </w:r>
    </w:p>
    <w:p w:rsidR="00DA3306" w:rsidRDefault="00DA3306" w:rsidP="00DA3306">
      <w:pPr>
        <w:spacing w:after="0" w:line="360" w:lineRule="auto"/>
        <w:jc w:val="both"/>
      </w:pPr>
    </w:p>
    <w:p w:rsidR="00DA3306" w:rsidRDefault="00DA3306" w:rsidP="00DA3306">
      <w:pPr>
        <w:spacing w:after="0" w:line="360" w:lineRule="auto"/>
        <w:jc w:val="both"/>
      </w:pPr>
      <w:r>
        <w:t xml:space="preserve">A helyi önkormányzatok 2014-ben hitelforrások nélkül mintegy 2355,8 milliárd forinttal gazdálkodhatnak, melyhez a központi költségvetés 703,6 milliárd forintot biztosít. </w:t>
      </w:r>
    </w:p>
    <w:p w:rsidR="00DA3306" w:rsidRDefault="00DA3306" w:rsidP="00DA3306">
      <w:pPr>
        <w:spacing w:after="0" w:line="360" w:lineRule="auto"/>
        <w:jc w:val="both"/>
      </w:pPr>
    </w:p>
    <w:p w:rsidR="00DA3306" w:rsidRDefault="00DA3306" w:rsidP="00DA3306">
      <w:pPr>
        <w:spacing w:after="0" w:line="360" w:lineRule="auto"/>
        <w:jc w:val="both"/>
      </w:pPr>
      <w:r>
        <w:t xml:space="preserve">A 2014. évben az önkormányzatok finanszírozása a 2013. évtől bevezetett - megváltozott önkormányzati feladatellátáshoz igazodó - feladatalapú támogatási rendszerben történik. </w:t>
      </w:r>
    </w:p>
    <w:p w:rsidR="00DA3306" w:rsidRDefault="00DA3306" w:rsidP="00DA3306">
      <w:pPr>
        <w:spacing w:after="0" w:line="360" w:lineRule="auto"/>
        <w:jc w:val="both"/>
      </w:pPr>
    </w:p>
    <w:p w:rsidR="00DA3306" w:rsidRDefault="00DA3306" w:rsidP="00DA3306">
      <w:pPr>
        <w:spacing w:after="0" w:line="360" w:lineRule="auto"/>
        <w:jc w:val="both"/>
      </w:pPr>
      <w:r>
        <w:lastRenderedPageBreak/>
        <w:t xml:space="preserve">A finanszírozási struktúra alapjaiban nem tér el a 2013-ban kialakított és alkalmazott feladatalapú forrásallokációtól. Fontos ugyanakkor kiemelni, hogy az új támogatási rendszerrel kapcsolatosan a települések vezetői, az érdekszövetségek és egyéb fórumok folyamatos visszajelzéseket küldtek az érintett szaktárcáknak. Mint minden új rendszer, így az önkormányzatok átalakult finanszírozási struktúrája is finomhangolásra, igazításra szorult, ennek érdekében már a 2013. év közben történtek intézkedések a IX. fejezet szerkezetátalakítási tartalékának felhasználásával. Ezen – az önkormányzatok igényein és visszajelzésein alapuló – strukturális kiegyenlítést szolgáló kiegészítő támogatások a 2014. évben beépülnek az alapfinanszírozásba. </w:t>
      </w:r>
    </w:p>
    <w:p w:rsidR="00DA3306" w:rsidRDefault="00DA3306" w:rsidP="00DA3306">
      <w:pPr>
        <w:spacing w:after="0" w:line="360" w:lineRule="auto"/>
        <w:jc w:val="both"/>
      </w:pPr>
    </w:p>
    <w:p w:rsidR="00DA3306" w:rsidRDefault="00DA3306" w:rsidP="00DA3306">
      <w:pPr>
        <w:spacing w:after="0" w:line="360" w:lineRule="auto"/>
        <w:jc w:val="both"/>
      </w:pPr>
      <w:r>
        <w:t xml:space="preserve">A köznevelési ágazatban az önkormányzatok fő feladata továbbra is az óvodai ellátás, amelyhez a központi költségvetés több elemű támogatással járul hozzá: - a jogszabályi előírások alkalmazásával biztosítja az óvodapedagógusok illetményét – igazodva az Országgyűlés által elfogadott, 2013. év szeptemberétől bevezetésre került pedagógusi életpálya előmeneteli rendszer többletköltségeihez. Figyelembe veszi továbbá a köznevelési törvény óvodai nevelésszervezési paramétereit (csoport átlaglétszám, foglalkozási időkeret, gyerekekkel töltendő kötött idő stb.), valamint a kereseteket meghatározó törvények kötelezően elismerendő elemeit; - emellett a 2014. évben is kötött felhasználású támogatás illeti meg az óvodát fenntartó önkormányzatokat az óvodai nevelést biztosító eszközök és felszerelések beszerzéséhez, a feladatellátásra szolgáló épület folyamatos működtetéséhez, valamint a társulás által fenntartott óvodákba bejárók utaztatásához is. </w:t>
      </w:r>
    </w:p>
    <w:p w:rsidR="00DA3306" w:rsidRDefault="00DA3306" w:rsidP="00DA3306">
      <w:pPr>
        <w:spacing w:after="0" w:line="360" w:lineRule="auto"/>
        <w:jc w:val="both"/>
      </w:pPr>
    </w:p>
    <w:p w:rsidR="00DA3306" w:rsidRDefault="00DA3306" w:rsidP="00DA3306">
      <w:pPr>
        <w:spacing w:after="0" w:line="360" w:lineRule="auto"/>
        <w:jc w:val="both"/>
      </w:pPr>
      <w:r>
        <w:t xml:space="preserve">Továbbra is önkormányzati feladat a gyermekétkeztetés, amelynek támogatásánál ugyanakkor – a 2013. évben a szerkezetátalakítási tartalékból biztosított kiegészítő támogatás elveire építve – a valós kiadásokhoz és az igényekhez jobban igazodó finanszírozás fog érvényesülni. </w:t>
      </w:r>
    </w:p>
    <w:p w:rsidR="00DA3306" w:rsidRDefault="00DA3306" w:rsidP="00DA3306">
      <w:pPr>
        <w:spacing w:after="0" w:line="360" w:lineRule="auto"/>
        <w:jc w:val="both"/>
      </w:pPr>
      <w:r>
        <w:t xml:space="preserve">Fontos módosulás, hogy a feladat támogatása a köznevelési ágazat helyett a jövőben a szociális ágazatnál jelenik meg – igazodva ahhoz, hogy az ehhez kapcsolódó szabályozást és felelősségeket a gyermekvédelmi törvény határozza meg. </w:t>
      </w:r>
    </w:p>
    <w:p w:rsidR="00DA3306" w:rsidRDefault="00DA3306" w:rsidP="00DA3306">
      <w:pPr>
        <w:spacing w:after="0" w:line="360" w:lineRule="auto"/>
        <w:jc w:val="both"/>
      </w:pPr>
      <w:r>
        <w:t xml:space="preserve">A szociális és gyermekjóléti ellátórendszerben az önkormányzatok szerepe alapvetően továbbra is a pénzbeli ellátások, illetve az alapellátások biztosítása. A 2013. évben a szerkezetátalakítási tartalékból biztosított kiegészítő támogatások e területen is beépülnek a 2014. évi alapfinanszírozásba: a bölcsődei ellátás támogatása új alapokra helyeződik, az ehhez szükséges fedezetet biztosítja e többletforrás. Emellett új jogcímen a kistelepülések kiegészítő támogatást kaphatnak különböző szociális feladataik ellátásához, annak érdekében, hogy ellátási kötelezettségüknek megfelelően tudjanak eleget tenni. </w:t>
      </w:r>
    </w:p>
    <w:p w:rsidR="00DA3306" w:rsidRDefault="00DA3306" w:rsidP="00DA3306">
      <w:pPr>
        <w:spacing w:after="0" w:line="360" w:lineRule="auto"/>
        <w:jc w:val="both"/>
      </w:pPr>
    </w:p>
    <w:p w:rsidR="00DA3306" w:rsidRDefault="00DA3306" w:rsidP="00DA3306">
      <w:pPr>
        <w:spacing w:after="0" w:line="360" w:lineRule="auto"/>
        <w:jc w:val="both"/>
      </w:pPr>
      <w:r>
        <w:lastRenderedPageBreak/>
        <w:t xml:space="preserve">Az önkormányzatok kulturális feladatainak – ezen belül a kulturális javak védelme, a muzeális intézmények, a közművelődés és a nyilvános könyvtári ellátás – biztosításához a központi költségvetés a 2014. évben is önálló előirányzaton biztosít támogatást. Ennek célja, hogy a rendelkezésre álló, megnövelt források célzottan jussanak el e területhez. Emellett a központosított előirányzatok között továbbra is lehetőség lesz az önkormányzati fenntartású könyvtárak állománygyarapítására, a közművelődési tevékenység érdekeltségnövelő támogatására, az „art” mozik fejlesztésére, valamint a múzeumok szakmai támogatására is. </w:t>
      </w:r>
    </w:p>
    <w:p w:rsidR="00DA3306" w:rsidRDefault="00DA3306" w:rsidP="00DA3306">
      <w:pPr>
        <w:spacing w:after="0" w:line="360" w:lineRule="auto"/>
        <w:jc w:val="both"/>
      </w:pPr>
    </w:p>
    <w:p w:rsidR="00DA3306" w:rsidRDefault="00DA3306" w:rsidP="00DA3306">
      <w:pPr>
        <w:spacing w:after="0" w:line="360" w:lineRule="auto"/>
        <w:jc w:val="both"/>
      </w:pPr>
      <w:r>
        <w:t xml:space="preserve">Az önkormányzatoknál maradó feladatok nagyobb részét továbbra is a klasszikus értelemben vett önkormányzati feladatok (igazgatási feladatok, településüzemeltetés, közvilágítás, helyi adóztatás stb.) teszik ki. E helyi közügyek ellátását a költségvetés a 2014. évben is az általános működési támogatások címen támogatja a központi költségvetés. </w:t>
      </w:r>
    </w:p>
    <w:p w:rsidR="00DA3306" w:rsidRDefault="00DA3306" w:rsidP="00DA3306">
      <w:pPr>
        <w:spacing w:after="0" w:line="360" w:lineRule="auto"/>
        <w:jc w:val="both"/>
      </w:pPr>
    </w:p>
    <w:p w:rsidR="00DA3306" w:rsidRDefault="00DA3306" w:rsidP="00DA3306">
      <w:pPr>
        <w:spacing w:after="0" w:line="360" w:lineRule="auto"/>
        <w:jc w:val="both"/>
      </w:pPr>
      <w:r>
        <w:t xml:space="preserve">Az önkormányzatokat megillető egyes költségvetési támogatásokat csökkenti az ún. „beszámítás”, ugyanakkor az idei évinél differenciáltabb módon. Az első év tapasztalatai alapján az alacsony helyi adóbevételi potenciállal rendelkező településeket ilyen módon a csökkentés egyáltalán nem érinti; e felett pedig sávosan növekvő mértékben terheli beszámítás az önkormányzatokat. </w:t>
      </w:r>
    </w:p>
    <w:p w:rsidR="00DA3306" w:rsidRDefault="00DA3306" w:rsidP="00DA3306">
      <w:pPr>
        <w:spacing w:after="0" w:line="360" w:lineRule="auto"/>
        <w:jc w:val="both"/>
      </w:pPr>
    </w:p>
    <w:p w:rsidR="00DA3306" w:rsidRDefault="00DA3306" w:rsidP="00DA3306">
      <w:pPr>
        <w:spacing w:after="0" w:line="360" w:lineRule="auto"/>
        <w:jc w:val="both"/>
      </w:pPr>
      <w:r>
        <w:t xml:space="preserve">A helyi adókból származó bevétel továbbra is teljes egészében az önkormányzatok saját bevétele marad, és helyben járul hozzá a feladatokhoz. Mindezek mellett az esetleges egyedi működési problémák kezelésére a IX. fejezet nagy összegű tartalékot tartalmaz, amelyből – az önkormányzati törvény előírásainak megfelelően – kiegészítő támogatást kaphatnak az érintett települések. </w:t>
      </w:r>
    </w:p>
    <w:p w:rsidR="00DA3306" w:rsidRDefault="00DA3306" w:rsidP="00DA3306">
      <w:pPr>
        <w:spacing w:after="0" w:line="360" w:lineRule="auto"/>
        <w:jc w:val="both"/>
      </w:pPr>
    </w:p>
    <w:p w:rsidR="00DA3306" w:rsidRDefault="00DA3306" w:rsidP="00DA3306">
      <w:pPr>
        <w:spacing w:after="0" w:line="360" w:lineRule="auto"/>
        <w:jc w:val="both"/>
      </w:pPr>
      <w:r>
        <w:t xml:space="preserve">A Kormány a közfoglalkoztatás rendszerének kiterjesztésével megteremtette a lehetőséget az elsődleges munkaerőpiacról kiszorultak számára. A 2014. évnek az elmúlt évekhez hasonlóan kiemelt pontja a Start-munkaprogram folytatása. A 2014. évi célkitűzés, hogy e program keretében mintegy 250-300 ezer ember elhelyezkedjen a munka világában. A program gyökerei már 2010-ben megfogalmazásra kerültek: a munkába való visszavezetés eszközeinek kialakítása, a közfoglalkoztatás révén széles tömegek megmozgatása, mely által javul a hátrányos helyzetű csoportok foglalkoztatottsága. A közfoglalkoztatási programmal a munkaerőpiacon hátrányban lévők, az alacsony iskolai végzettségűek, a tartósan munka nélkül lévők, valamint a megváltozott munkaképességű személyek foglalkoztatását és foglalkoztathatóságát kívánja növelni a Kormány. További cél, hogy a segély és a munkaerő-piaci minimálbér között megállapított bérezési rendszerrel fokozza az álláskeresési aktivitást. A program átfogó célja, hogy elősegítse a versenyszférába, az elsődleges munkaerőpiacra történő visszatérést. </w:t>
      </w:r>
    </w:p>
    <w:p w:rsidR="00DA3306" w:rsidRDefault="00DA3306" w:rsidP="00DA3306">
      <w:pPr>
        <w:spacing w:after="0" w:line="360" w:lineRule="auto"/>
        <w:jc w:val="both"/>
      </w:pPr>
    </w:p>
    <w:p w:rsidR="00DA3306" w:rsidRDefault="00DA3306" w:rsidP="00DA3306">
      <w:pPr>
        <w:spacing w:after="0" w:line="360" w:lineRule="auto"/>
        <w:jc w:val="both"/>
      </w:pPr>
      <w:r>
        <w:t>A Start-munkaprogram finanszírozása 2014-ben is a Nemzeti Foglalkoztatási Alapból valósul meg. A 2014. évi költségvetés tervezetében az Alap költségvetésében a Startmunkaprogramra közel 184 milliárd forint áll rendelkezésre. Országos és kistérségi mintaprogramok indulhatnak újra, mindemellett az önkormányzati közfoglalkoztatási programok és a szociális földprogramok finanszírozására továbbra is lehetőség nyílik. A kistérségi Startmunka mintaprogramok megvalósításánál – az előző két év után – már szükségessé válik a szociális szövetkezetté alakulás útjára lépő települések önálló gazdálkodása kialakításának elősegítése. A Kormány szándéka, hogy a foglalkoztatási szempontból kritikus téli időszakban is biztosíthatóvá váljon az álláskeresők munkához</w:t>
      </w:r>
      <w:proofErr w:type="gramStart"/>
      <w:r>
        <w:t>,jövedelemhez</w:t>
      </w:r>
      <w:proofErr w:type="gramEnd"/>
      <w:r>
        <w:t xml:space="preserve"> juttatása. Így téli közfoglalkoztatási program kerül kialakításra 2013. november 1. és 2014. április 30. között, valamint 2014. év végén. Ezt szolgálja a 2014. évben az előző </w:t>
      </w:r>
    </w:p>
    <w:p w:rsidR="00DA3306" w:rsidRDefault="00DA3306" w:rsidP="00DA3306">
      <w:pPr>
        <w:spacing w:after="0" w:line="360" w:lineRule="auto"/>
        <w:jc w:val="both"/>
      </w:pPr>
      <w:proofErr w:type="gramStart"/>
      <w:r>
        <w:t>évi</w:t>
      </w:r>
      <w:proofErr w:type="gramEnd"/>
      <w:r>
        <w:t xml:space="preserve"> előirányzatot 30,0 milliárd forinttal meghaladó forrás. </w:t>
      </w:r>
    </w:p>
    <w:p w:rsidR="00DA3306" w:rsidRDefault="00DA3306" w:rsidP="00DA3306">
      <w:pPr>
        <w:spacing w:after="0" w:line="360" w:lineRule="auto"/>
        <w:jc w:val="both"/>
      </w:pPr>
    </w:p>
    <w:p w:rsidR="00DA3306" w:rsidRPr="00656519" w:rsidRDefault="00DA3306" w:rsidP="00DA3306">
      <w:pPr>
        <w:spacing w:after="0" w:line="360" w:lineRule="auto"/>
        <w:jc w:val="both"/>
        <w:rPr>
          <w:b/>
          <w:sz w:val="24"/>
          <w:szCs w:val="24"/>
        </w:rPr>
      </w:pPr>
      <w:r w:rsidRPr="00656519">
        <w:rPr>
          <w:b/>
          <w:sz w:val="24"/>
          <w:szCs w:val="24"/>
        </w:rPr>
        <w:t xml:space="preserve">Önkormányzati bevételek </w:t>
      </w:r>
    </w:p>
    <w:p w:rsidR="00DA3306" w:rsidRDefault="00DA3306" w:rsidP="00DA3306">
      <w:pPr>
        <w:spacing w:after="0" w:line="360" w:lineRule="auto"/>
        <w:jc w:val="both"/>
      </w:pPr>
    </w:p>
    <w:p w:rsidR="00DA3306" w:rsidRDefault="00DA3306" w:rsidP="00DA3306">
      <w:pPr>
        <w:spacing w:after="0" w:line="360" w:lineRule="auto"/>
        <w:jc w:val="both"/>
      </w:pPr>
      <w:r>
        <w:t xml:space="preserve">Az önkormányzat 2014. évi bevételeinél csak a biztonsággal tervezhető források kerülhetnek be a költségvetésbe, melyek teljesülését folyamatosan figyelemmel kell kísérni. </w:t>
      </w:r>
    </w:p>
    <w:p w:rsidR="00656519" w:rsidRDefault="00656519" w:rsidP="00DA3306">
      <w:pPr>
        <w:spacing w:after="0" w:line="360" w:lineRule="auto"/>
        <w:jc w:val="both"/>
        <w:rPr>
          <w:b/>
        </w:rPr>
      </w:pPr>
    </w:p>
    <w:p w:rsidR="00DA3306" w:rsidRPr="00DA3306" w:rsidRDefault="00DA3306" w:rsidP="00DA3306">
      <w:pPr>
        <w:spacing w:after="0" w:line="360" w:lineRule="auto"/>
        <w:jc w:val="both"/>
        <w:rPr>
          <w:b/>
        </w:rPr>
      </w:pPr>
      <w:r w:rsidRPr="00DA3306">
        <w:rPr>
          <w:b/>
        </w:rPr>
        <w:t xml:space="preserve">Intézményi működési bevételek </w:t>
      </w:r>
    </w:p>
    <w:p w:rsidR="00DA3306" w:rsidRDefault="00DA3306" w:rsidP="00DA3306">
      <w:pPr>
        <w:spacing w:after="0" w:line="360" w:lineRule="auto"/>
        <w:jc w:val="both"/>
      </w:pPr>
      <w:r>
        <w:t xml:space="preserve">Az intézményi saját bevételek az alaptevékenységgel összefüggő szolgáltatások ellenértékéből, továbbszámlázott közüzemi díjakból, a helyiségek, eszközök tartós és eseti bérbeadási díjából, valamint az egyéb bevételekből tevődnek össze. Indokolt a saját bevételek körültekintő, reális tervezése, a jelenlegi és várható jogszabályi környezet figyelembe vételével. Intézményi bevételeink az óvatos tervezés elve szerint tervezhetőek. Kamatbevétellel minimális szinten számolhatunk. </w:t>
      </w:r>
    </w:p>
    <w:p w:rsidR="001A2A74" w:rsidRDefault="001A2A74" w:rsidP="00DA3306">
      <w:pPr>
        <w:spacing w:after="0" w:line="360" w:lineRule="auto"/>
        <w:jc w:val="both"/>
      </w:pPr>
      <w:r>
        <w:t>Bérleti díjakból 1.250 e Ft-ot, étkezési díjakból 9.271 e Ft-ot, továbbszámlázott szolgáltatásból 5.316 e Ft-ot terveztünk, illetve ezek 27%-os áfa vonzatát. A konyha működésével kapcsolatosan 1.623 e Ft áfa visszatérüléssel számoltunk.</w:t>
      </w:r>
    </w:p>
    <w:p w:rsidR="00656519" w:rsidRDefault="00656519" w:rsidP="00DA3306">
      <w:pPr>
        <w:spacing w:after="0" w:line="360" w:lineRule="auto"/>
        <w:jc w:val="both"/>
        <w:rPr>
          <w:b/>
        </w:rPr>
      </w:pPr>
    </w:p>
    <w:p w:rsidR="00DA3306" w:rsidRPr="00DA3306" w:rsidRDefault="00DA3306" w:rsidP="00DA3306">
      <w:pPr>
        <w:spacing w:after="0" w:line="360" w:lineRule="auto"/>
        <w:jc w:val="both"/>
        <w:rPr>
          <w:b/>
        </w:rPr>
      </w:pPr>
      <w:r w:rsidRPr="00DA3306">
        <w:rPr>
          <w:b/>
        </w:rPr>
        <w:t xml:space="preserve">Adó bevételek </w:t>
      </w:r>
    </w:p>
    <w:p w:rsidR="00DA3306" w:rsidRDefault="00DA3306" w:rsidP="00DA3306">
      <w:pPr>
        <w:spacing w:after="0" w:line="360" w:lineRule="auto"/>
        <w:jc w:val="both"/>
      </w:pPr>
      <w:r>
        <w:t xml:space="preserve">Saját bevételeink meghatározó részét teszik ki a helyi adók, illetve a gépjárműadó. A Törvényjavaslat az átengedett gépjárműadóból származó részesedést (40%) nem változtatta, így az előirányzat a 2013. évi teljesítési adat elemzésével tervezhető. </w:t>
      </w:r>
    </w:p>
    <w:p w:rsidR="00DA3306" w:rsidRPr="00DA3306" w:rsidRDefault="00DA3306" w:rsidP="00DA3306">
      <w:pPr>
        <w:spacing w:after="0" w:line="360" w:lineRule="auto"/>
        <w:jc w:val="both"/>
      </w:pPr>
      <w:r>
        <w:t xml:space="preserve">Az elektronikus útdíj bevezetése miatt 10 milliárdos kerettel az állam kompenzálja teljes mértékben az érintett önkormányzatok bevételkiesését. A szabályozás szerint a fuvareszközzel rendelkezők </w:t>
      </w:r>
      <w:r>
        <w:lastRenderedPageBreak/>
        <w:t xml:space="preserve">levonhatják az e-útdíj 7,5 százalékát az iparűzési adóból és gépjárműadóból is kedvezményt kapnak a meghatározott műszaki feltétellel rendelkező </w:t>
      </w:r>
      <w:r w:rsidRPr="00DA3306">
        <w:t xml:space="preserve">járművek. </w:t>
      </w:r>
    </w:p>
    <w:p w:rsidR="00DA3306" w:rsidRDefault="00DA3306" w:rsidP="00DA3306">
      <w:pPr>
        <w:spacing w:after="0" w:line="360" w:lineRule="auto"/>
        <w:jc w:val="both"/>
      </w:pPr>
      <w:r>
        <w:t xml:space="preserve">Szükségszerű a helyi adókról szóló törvény változásainak és a jogszabály adta lehetőségek kihasználása, a követelés behajtás eredményességének növelése. </w:t>
      </w:r>
    </w:p>
    <w:p w:rsidR="001A2A74" w:rsidRDefault="001A2A74" w:rsidP="00DA3306">
      <w:pPr>
        <w:spacing w:after="0" w:line="360" w:lineRule="auto"/>
        <w:jc w:val="both"/>
      </w:pPr>
      <w:r>
        <w:t xml:space="preserve">Helyi iparűzési adóbevételt 20.000 e Ft-ot terveztünk az előző </w:t>
      </w:r>
      <w:proofErr w:type="gramStart"/>
      <w:r>
        <w:t>évi  tapasztalati</w:t>
      </w:r>
      <w:proofErr w:type="gramEnd"/>
      <w:r>
        <w:t xml:space="preserve"> adatok alapján. Magánszemélyek kommunális adóját 6.600 e Ft-ot, gépjárműadót 9.000 e Ft-ot, melynek csak 40%-ával rendelkezhet az önkormányzat, illetve terveztünk talajterhelési díj bevételt 700 e Ft-ot, melyből 100 e Ft a kedvezmény összege.</w:t>
      </w:r>
    </w:p>
    <w:p w:rsidR="00DA3306" w:rsidRDefault="00DA3306" w:rsidP="00DA3306">
      <w:pPr>
        <w:spacing w:after="0" w:line="360" w:lineRule="auto"/>
        <w:jc w:val="both"/>
      </w:pPr>
    </w:p>
    <w:p w:rsidR="001A2A74" w:rsidRDefault="001A2A74" w:rsidP="00DA3306">
      <w:pPr>
        <w:spacing w:after="0" w:line="360" w:lineRule="auto"/>
        <w:jc w:val="both"/>
      </w:pPr>
    </w:p>
    <w:p w:rsidR="00DA3306" w:rsidRDefault="00DA3306" w:rsidP="00DA3306">
      <w:pPr>
        <w:spacing w:after="0" w:line="360" w:lineRule="auto"/>
        <w:jc w:val="both"/>
        <w:rPr>
          <w:b/>
        </w:rPr>
      </w:pPr>
      <w:r w:rsidRPr="00DA3306">
        <w:rPr>
          <w:b/>
        </w:rPr>
        <w:t xml:space="preserve">Önkormányzatok költségvetési támogatása </w:t>
      </w:r>
    </w:p>
    <w:p w:rsidR="00F85A55" w:rsidRPr="00DA3306" w:rsidRDefault="00F85A55" w:rsidP="00DA3306">
      <w:pPr>
        <w:spacing w:after="0" w:line="360" w:lineRule="auto"/>
        <w:jc w:val="both"/>
        <w:rPr>
          <w:b/>
        </w:rPr>
      </w:pPr>
    </w:p>
    <w:p w:rsidR="00DA3306" w:rsidRDefault="001A2A74" w:rsidP="00DA3306">
      <w:pPr>
        <w:spacing w:after="0" w:line="360" w:lineRule="auto"/>
        <w:jc w:val="both"/>
      </w:pPr>
      <w:r>
        <w:t>Sióagárd</w:t>
      </w:r>
      <w:r w:rsidR="00DA3306">
        <w:t xml:space="preserve"> község Önkormányzatának normatív hozzájárulásai és bevételei a költségvetési törvényben foglaltak figyelembevételével kerülnek megtervezésre. </w:t>
      </w:r>
    </w:p>
    <w:p w:rsidR="00DA3306" w:rsidRDefault="00DA3306" w:rsidP="00DA3306">
      <w:pPr>
        <w:spacing w:after="0" w:line="360" w:lineRule="auto"/>
        <w:jc w:val="both"/>
      </w:pPr>
      <w:r>
        <w:t xml:space="preserve">Az önkormányzatok finanszírozásának elvei nem változnak, de több támogatási forma kedvezőbb lett az idei évi költségvetésben. </w:t>
      </w:r>
    </w:p>
    <w:p w:rsidR="00DA3306" w:rsidRDefault="00DA3306" w:rsidP="00DA3306">
      <w:pPr>
        <w:spacing w:after="0" w:line="360" w:lineRule="auto"/>
        <w:jc w:val="both"/>
      </w:pPr>
      <w:r>
        <w:t xml:space="preserve">Kategóriákat hoztak létre a településüzemeltetési normatívák megállapítására. Megvizsgálták, hogy 2012-ben a települések mennyit költöttek a többi között köztemető fenntartására, közutak karbantartására és közvilágításra. A torzító értékek kiszűrése után pontosították, a valós adatokhoz igazították a finanszírozást. </w:t>
      </w:r>
    </w:p>
    <w:p w:rsidR="00DA3306" w:rsidRDefault="00DA3306" w:rsidP="00DA3306">
      <w:pPr>
        <w:spacing w:after="0" w:line="360" w:lineRule="auto"/>
        <w:jc w:val="both"/>
      </w:pPr>
      <w:r>
        <w:t xml:space="preserve">A köznevelési feladatok támogatása jogcímen belül nőtt az óvodapedagógusok átlagbéréhez és közterheihez biztosított támogatás 2.832.000 forint/számított létszám/év összegről 3.990.000 forint/számított létszám/év összegre és további 34.000 forint/számított létszám/3 hónap összeggel is számolhatunk a 2014/2015 nevelési évre. Várhatóan a támogatás nem fogja fedezni az óvodapedagógusok tényleges személyi juttatását és a munkaadót terhelő járulékát, mivel az intézmény alkalmazottai tapasztalt, az átlagosnál hosszabb közalkalmazotti jogviszonnyal rendelkező szakemberek. </w:t>
      </w:r>
    </w:p>
    <w:p w:rsidR="00DA3306" w:rsidRDefault="00DA3306" w:rsidP="00DA3306">
      <w:pPr>
        <w:spacing w:after="0" w:line="360" w:lineRule="auto"/>
        <w:jc w:val="both"/>
      </w:pPr>
      <w:r>
        <w:t xml:space="preserve">Az óvodapedagógusok nevelő munkáját közvetlenül segítők átlagbérének és közterheinek elismert összege (l.632.000 forint/létszám/év), valamint az óvodaműködtetési támogatás összege (54.000 forint/fő/év) nem változott. </w:t>
      </w:r>
    </w:p>
    <w:p w:rsidR="00656519" w:rsidRDefault="00DA3306" w:rsidP="00DA3306">
      <w:pPr>
        <w:spacing w:after="0" w:line="360" w:lineRule="auto"/>
        <w:jc w:val="both"/>
      </w:pPr>
      <w:r>
        <w:t xml:space="preserve">A pénzbeli szociális ellátás támogatása a 2013. évi szinten került tervezésre. A családsegítő és gyermekjóléti szolgálat, a szociális étkeztetés, a házi segítségnyújtás, valamint a nappali intézményi ellátás előirányzat szintén nem változott. </w:t>
      </w:r>
    </w:p>
    <w:p w:rsidR="001A2A74" w:rsidRDefault="001A2A74" w:rsidP="00DA3306">
      <w:pPr>
        <w:spacing w:after="0" w:line="360" w:lineRule="auto"/>
        <w:jc w:val="both"/>
      </w:pPr>
      <w:r>
        <w:t xml:space="preserve">Önkormányzatok általános támogatására az Államkincstár által </w:t>
      </w:r>
      <w:r w:rsidR="00865A09">
        <w:t xml:space="preserve">közölt előirányzat 10.932 e Ft. </w:t>
      </w:r>
      <w:r>
        <w:t>Óvodapedagógus és segítő bértámogatására, illetve az óvodaműködtetésére 85.701 e Ft</w:t>
      </w:r>
      <w:r w:rsidR="00865A09">
        <w:t xml:space="preserve"> az</w:t>
      </w:r>
      <w:r>
        <w:t xml:space="preserve"> </w:t>
      </w:r>
      <w:r>
        <w:lastRenderedPageBreak/>
        <w:t>előirányza</w:t>
      </w:r>
      <w:r w:rsidR="00865A09">
        <w:t>t. Gyermekétkeztetésre 9.839 e Ft, az előirányzat. Ehhez még várható további támogatás, melynek összege még nem ismert. Közművelődési tevékenységre 1.509 e Ft előirányzat tervezhető. 10 e Ft szerepel a kötött felhasználású támogatások között a külterülettel kapcsolatos feladatokra.</w:t>
      </w:r>
    </w:p>
    <w:p w:rsidR="00865A09" w:rsidRDefault="00865A09" w:rsidP="00865A09">
      <w:pPr>
        <w:spacing w:after="0" w:line="360" w:lineRule="auto"/>
        <w:jc w:val="both"/>
        <w:rPr>
          <w:b/>
        </w:rPr>
      </w:pPr>
    </w:p>
    <w:p w:rsidR="00865A09" w:rsidRDefault="00865A09" w:rsidP="00865A09">
      <w:pPr>
        <w:spacing w:after="0" w:line="360" w:lineRule="auto"/>
        <w:jc w:val="both"/>
        <w:rPr>
          <w:b/>
        </w:rPr>
      </w:pPr>
      <w:r>
        <w:rPr>
          <w:b/>
        </w:rPr>
        <w:t>Támogatásértékű bevételek</w:t>
      </w:r>
    </w:p>
    <w:p w:rsidR="00F85A55" w:rsidRPr="00DA3306" w:rsidRDefault="00F85A55" w:rsidP="00865A09">
      <w:pPr>
        <w:spacing w:after="0" w:line="360" w:lineRule="auto"/>
        <w:jc w:val="both"/>
        <w:rPr>
          <w:b/>
        </w:rPr>
      </w:pPr>
    </w:p>
    <w:p w:rsidR="00865A09" w:rsidRDefault="00865A09" w:rsidP="00DA3306">
      <w:pPr>
        <w:spacing w:after="0" w:line="360" w:lineRule="auto"/>
        <w:jc w:val="both"/>
      </w:pPr>
      <w:r>
        <w:t xml:space="preserve">Az OEP-től a család- és védőnői szolgáltatás működésére 4.380 e Ft működési támogatást előirányoztunk. </w:t>
      </w:r>
    </w:p>
    <w:p w:rsidR="00865A09" w:rsidRDefault="00865A09" w:rsidP="00DA3306">
      <w:pPr>
        <w:spacing w:after="0" w:line="360" w:lineRule="auto"/>
        <w:jc w:val="both"/>
      </w:pPr>
      <w:r>
        <w:t xml:space="preserve">A közhasznú foglalkoztatást bér és járulék támogatására az április végéig, jelenleg is folyó programokra 2.164 e Ft-ot terveztünk. </w:t>
      </w:r>
    </w:p>
    <w:p w:rsidR="00865A09" w:rsidRDefault="00865A09" w:rsidP="00DA3306">
      <w:pPr>
        <w:spacing w:after="0" w:line="360" w:lineRule="auto"/>
        <w:jc w:val="both"/>
      </w:pPr>
      <w:r>
        <w:t xml:space="preserve">Az Óvodafenntartó Társulás működéséhez </w:t>
      </w:r>
      <w:r w:rsidR="00133ED4">
        <w:t>8.507</w:t>
      </w:r>
      <w:r>
        <w:t xml:space="preserve"> e Ft támogatásértékű bevételt terveztünk önkormányzatoktól, melyben 1.331 e Ft előző évi tartozás van. Kistormás Község Önkormányzata az elfogadott beszámoló alapján, 2014. elején </w:t>
      </w:r>
      <w:proofErr w:type="gramStart"/>
      <w:r>
        <w:t>kell</w:t>
      </w:r>
      <w:proofErr w:type="gramEnd"/>
      <w:r>
        <w:t xml:space="preserve"> utalja ezt az összeget. </w:t>
      </w:r>
    </w:p>
    <w:p w:rsidR="00865A09" w:rsidRDefault="00865A09" w:rsidP="00DA3306">
      <w:pPr>
        <w:spacing w:after="0" w:line="360" w:lineRule="auto"/>
        <w:jc w:val="both"/>
      </w:pPr>
    </w:p>
    <w:p w:rsidR="00865A09" w:rsidRDefault="00865A09" w:rsidP="00865A09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Támogatási kölcsön visszatérülés</w:t>
      </w:r>
    </w:p>
    <w:p w:rsidR="00865A09" w:rsidRPr="00865A09" w:rsidRDefault="00865A09" w:rsidP="00865A0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civil szervezeteknek adott felhalmozási kölcsön visszatérülésre 27.896 e Ft-ot terveztünk.</w:t>
      </w:r>
    </w:p>
    <w:p w:rsidR="00865A09" w:rsidRDefault="00865A09" w:rsidP="00865A09">
      <w:pPr>
        <w:jc w:val="both"/>
      </w:pPr>
      <w:proofErr w:type="gramStart"/>
      <w:r>
        <w:t>Civil  Ház</w:t>
      </w:r>
      <w:proofErr w:type="gramEnd"/>
      <w:r>
        <w:t xml:space="preserve">                                                                                                                    10.724 e Ft</w:t>
      </w:r>
    </w:p>
    <w:p w:rsidR="00865A09" w:rsidRDefault="00865A09" w:rsidP="00865A09">
      <w:pPr>
        <w:jc w:val="both"/>
      </w:pPr>
      <w:r>
        <w:t xml:space="preserve">Hagyományok </w:t>
      </w:r>
      <w:proofErr w:type="gramStart"/>
      <w:r>
        <w:t>Háza</w:t>
      </w:r>
      <w:r>
        <w:tab/>
        <w:t xml:space="preserve">      </w:t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        12</w:t>
      </w:r>
      <w:proofErr w:type="gramEnd"/>
      <w:r>
        <w:t>.043 e Ft</w:t>
      </w:r>
    </w:p>
    <w:p w:rsidR="00865A09" w:rsidRDefault="00865A09" w:rsidP="00865A09">
      <w:pPr>
        <w:jc w:val="both"/>
      </w:pPr>
      <w:proofErr w:type="gramStart"/>
      <w:r>
        <w:t xml:space="preserve">Sportpálya                                                                                                            </w:t>
      </w:r>
      <w:r w:rsidR="00D41445">
        <w:t xml:space="preserve"> </w:t>
      </w:r>
      <w:r>
        <w:t xml:space="preserve">       5</w:t>
      </w:r>
      <w:proofErr w:type="gramEnd"/>
      <w:r>
        <w:t>.129 e Ft</w:t>
      </w:r>
    </w:p>
    <w:p w:rsidR="00865A09" w:rsidRDefault="00865A09" w:rsidP="00865A09">
      <w:pPr>
        <w:spacing w:after="0" w:line="360" w:lineRule="auto"/>
        <w:jc w:val="both"/>
        <w:rPr>
          <w:b/>
          <w:sz w:val="24"/>
          <w:szCs w:val="24"/>
        </w:rPr>
      </w:pPr>
    </w:p>
    <w:p w:rsidR="00865A09" w:rsidRDefault="00865A09" w:rsidP="00865A09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EU-s pályázatok bevétele</w:t>
      </w:r>
    </w:p>
    <w:p w:rsidR="00865A09" w:rsidRDefault="00865A09" w:rsidP="00865A09">
      <w:pPr>
        <w:jc w:val="both"/>
      </w:pPr>
      <w:proofErr w:type="gramStart"/>
      <w:r>
        <w:t>Tájház                                                                                                                            3</w:t>
      </w:r>
      <w:proofErr w:type="gramEnd"/>
      <w:r>
        <w:t xml:space="preserve">.152 e Ft </w:t>
      </w:r>
    </w:p>
    <w:p w:rsidR="00865A09" w:rsidRDefault="00865A09" w:rsidP="00865A09">
      <w:pPr>
        <w:jc w:val="both"/>
      </w:pPr>
      <w:r>
        <w:t xml:space="preserve">Kistérségi </w:t>
      </w:r>
      <w:proofErr w:type="gramStart"/>
      <w:r>
        <w:t>Közlekedés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10</w:t>
      </w:r>
      <w:proofErr w:type="gramEnd"/>
      <w:r>
        <w:t>.000 e Ft</w:t>
      </w:r>
    </w:p>
    <w:p w:rsidR="00865A09" w:rsidRDefault="00865A09" w:rsidP="00865A09">
      <w:pPr>
        <w:jc w:val="both"/>
      </w:pPr>
      <w:r>
        <w:t xml:space="preserve">Községháza </w:t>
      </w:r>
      <w:proofErr w:type="gramStart"/>
      <w:r>
        <w:t>felújítás                                                                                                   7</w:t>
      </w:r>
      <w:proofErr w:type="gramEnd"/>
      <w:r>
        <w:t>.173 e Ft</w:t>
      </w:r>
    </w:p>
    <w:p w:rsidR="00865A09" w:rsidRDefault="00865A09" w:rsidP="00865A09">
      <w:pPr>
        <w:jc w:val="both"/>
      </w:pPr>
      <w:proofErr w:type="gramStart"/>
      <w:r>
        <w:t>Piactér                                                                                                                           3</w:t>
      </w:r>
      <w:proofErr w:type="gramEnd"/>
      <w:r>
        <w:t>.448 e Ft</w:t>
      </w:r>
    </w:p>
    <w:p w:rsidR="00D41445" w:rsidRDefault="00D41445" w:rsidP="00865A09">
      <w:pPr>
        <w:jc w:val="both"/>
      </w:pPr>
      <w:r>
        <w:t xml:space="preserve">Csapadékvíz elvezetés DDOP </w:t>
      </w:r>
      <w:proofErr w:type="gramStart"/>
      <w:r>
        <w:t>támogatás                                                            179.</w:t>
      </w:r>
      <w:proofErr w:type="gramEnd"/>
      <w:r>
        <w:t>718 e Ft</w:t>
      </w:r>
    </w:p>
    <w:p w:rsidR="00D41445" w:rsidRDefault="00D41445" w:rsidP="00865A09">
      <w:pPr>
        <w:jc w:val="both"/>
      </w:pPr>
      <w:r>
        <w:t xml:space="preserve">Csapadékvíz elvezetés EU </w:t>
      </w:r>
      <w:proofErr w:type="gramStart"/>
      <w:r>
        <w:t>önerő                                                                           19</w:t>
      </w:r>
      <w:proofErr w:type="gramEnd"/>
      <w:r>
        <w:t>.969 e Ft</w:t>
      </w:r>
    </w:p>
    <w:p w:rsidR="00865A09" w:rsidRDefault="00865A09" w:rsidP="00DA3306">
      <w:pPr>
        <w:spacing w:after="0" w:line="360" w:lineRule="auto"/>
        <w:jc w:val="both"/>
      </w:pPr>
    </w:p>
    <w:p w:rsidR="00865A09" w:rsidRDefault="00834267" w:rsidP="00DA3306">
      <w:pPr>
        <w:spacing w:after="0" w:line="360" w:lineRule="auto"/>
        <w:jc w:val="both"/>
      </w:pPr>
      <w:r>
        <w:t>A bevételek részletes kimutatását a 17. számú melléklet tartalmazza.</w:t>
      </w:r>
    </w:p>
    <w:p w:rsidR="00865A09" w:rsidRDefault="00865A09" w:rsidP="00DA3306">
      <w:pPr>
        <w:spacing w:after="0" w:line="360" w:lineRule="auto"/>
        <w:jc w:val="both"/>
      </w:pPr>
    </w:p>
    <w:p w:rsidR="00FB71D8" w:rsidRDefault="00FB71D8" w:rsidP="00DA3306">
      <w:pPr>
        <w:spacing w:after="0" w:line="360" w:lineRule="auto"/>
        <w:jc w:val="both"/>
      </w:pPr>
    </w:p>
    <w:p w:rsidR="00FB71D8" w:rsidRDefault="00FB71D8" w:rsidP="00DA3306">
      <w:pPr>
        <w:spacing w:after="0" w:line="360" w:lineRule="auto"/>
        <w:jc w:val="both"/>
      </w:pPr>
    </w:p>
    <w:p w:rsidR="00FB71D8" w:rsidRDefault="00FB71D8" w:rsidP="00DA3306">
      <w:pPr>
        <w:spacing w:after="0" w:line="360" w:lineRule="auto"/>
        <w:jc w:val="both"/>
      </w:pPr>
    </w:p>
    <w:p w:rsidR="00FB71D8" w:rsidRDefault="00FB71D8" w:rsidP="00DA3306">
      <w:pPr>
        <w:spacing w:after="0" w:line="360" w:lineRule="auto"/>
        <w:jc w:val="both"/>
      </w:pPr>
    </w:p>
    <w:p w:rsidR="00FB71D8" w:rsidRDefault="00FB71D8" w:rsidP="00DA3306">
      <w:pPr>
        <w:spacing w:after="0" w:line="360" w:lineRule="auto"/>
        <w:jc w:val="both"/>
      </w:pPr>
    </w:p>
    <w:p w:rsidR="00FB71D8" w:rsidRDefault="00FB71D8" w:rsidP="00DA3306">
      <w:pPr>
        <w:spacing w:after="0" w:line="360" w:lineRule="auto"/>
        <w:jc w:val="both"/>
      </w:pPr>
    </w:p>
    <w:p w:rsidR="00DA3306" w:rsidRPr="00656519" w:rsidRDefault="00DA3306" w:rsidP="00DA3306">
      <w:pPr>
        <w:spacing w:after="0" w:line="360" w:lineRule="auto"/>
        <w:jc w:val="both"/>
        <w:rPr>
          <w:b/>
          <w:sz w:val="24"/>
          <w:szCs w:val="24"/>
        </w:rPr>
      </w:pPr>
      <w:r w:rsidRPr="00656519">
        <w:rPr>
          <w:b/>
          <w:sz w:val="24"/>
          <w:szCs w:val="24"/>
        </w:rPr>
        <w:t xml:space="preserve">Önkormányzati kiadások </w:t>
      </w:r>
    </w:p>
    <w:p w:rsidR="00DA3306" w:rsidRDefault="00DA3306" w:rsidP="00DA3306">
      <w:pPr>
        <w:spacing w:after="0" w:line="360" w:lineRule="auto"/>
        <w:jc w:val="both"/>
      </w:pPr>
    </w:p>
    <w:p w:rsidR="00DA3306" w:rsidRDefault="00DA3306" w:rsidP="00DA3306">
      <w:pPr>
        <w:spacing w:after="0" w:line="360" w:lineRule="auto"/>
        <w:jc w:val="both"/>
      </w:pPr>
      <w:r>
        <w:t xml:space="preserve">A tervezésnél kiemelt fontosságú, hogy a Képviselő-testület felülvizsgálja, hogy az önként vállalt feladatok finanszírozását gazdaságilag szabad-e felvállalni. Ennek érdekében a tervezés során mind a bevételi, mind a kiadási oldalon bemutatásra kerülnek a feladatok, és azok forrásai, kötelezően és önként vállalt csoportosításban. Az intézményi körben már minimálisra csökkentettük az önként vállalt feladatokat. </w:t>
      </w:r>
    </w:p>
    <w:p w:rsidR="00DA3306" w:rsidRDefault="00DA3306" w:rsidP="00DA3306">
      <w:pPr>
        <w:spacing w:after="0" w:line="360" w:lineRule="auto"/>
        <w:jc w:val="both"/>
      </w:pPr>
    </w:p>
    <w:p w:rsidR="00DA3306" w:rsidRPr="00656519" w:rsidRDefault="00DA3306" w:rsidP="00DA3306">
      <w:pPr>
        <w:spacing w:after="0" w:line="360" w:lineRule="auto"/>
        <w:jc w:val="both"/>
        <w:rPr>
          <w:b/>
        </w:rPr>
      </w:pPr>
      <w:r w:rsidRPr="00656519">
        <w:rPr>
          <w:b/>
        </w:rPr>
        <w:t xml:space="preserve">Személyi juttatások és járulékok </w:t>
      </w:r>
    </w:p>
    <w:p w:rsidR="00DA3306" w:rsidRDefault="00DA3306" w:rsidP="00DA3306">
      <w:pPr>
        <w:spacing w:after="0" w:line="360" w:lineRule="auto"/>
        <w:jc w:val="both"/>
      </w:pPr>
      <w:r>
        <w:t xml:space="preserve">A tervezés a jogszabályi előírások és a Képviselő-testület döntései szerint történik. A 2014. évi tervben a kötelezően jogszabályból eredő kifizetésekkel – kötelező béremelés, jubileumi jutalom, felmentés - nőhet a keret, ezt minden intézménynek részletesen indokolni kell. </w:t>
      </w:r>
    </w:p>
    <w:p w:rsidR="00DA3306" w:rsidRDefault="00DA3306" w:rsidP="00DA3306">
      <w:pPr>
        <w:spacing w:after="0" w:line="360" w:lineRule="auto"/>
        <w:jc w:val="both"/>
      </w:pPr>
      <w:r>
        <w:t xml:space="preserve">Az előirányzatok tervezéséhez az alábbi mutatók nem változtak: </w:t>
      </w:r>
    </w:p>
    <w:p w:rsidR="00DA3306" w:rsidRDefault="00DA3306" w:rsidP="00DA3306">
      <w:pPr>
        <w:spacing w:after="0" w:line="360" w:lineRule="auto"/>
        <w:jc w:val="both"/>
      </w:pPr>
      <w:proofErr w:type="gramStart"/>
      <w:r>
        <w:t>a</w:t>
      </w:r>
      <w:proofErr w:type="gramEnd"/>
      <w:r>
        <w:t xml:space="preserve">) a köztisztviselői illetményalap 38.650 forint, </w:t>
      </w:r>
    </w:p>
    <w:p w:rsidR="00DA3306" w:rsidRDefault="00DA3306" w:rsidP="00DA3306">
      <w:pPr>
        <w:spacing w:after="0" w:line="360" w:lineRule="auto"/>
        <w:jc w:val="both"/>
      </w:pPr>
      <w:r>
        <w:t xml:space="preserve">b) a közalkalmazottak illetménypótlék-számítási alapja 20.000 forint, </w:t>
      </w:r>
    </w:p>
    <w:p w:rsidR="00DA3306" w:rsidRDefault="00DA3306" w:rsidP="00DA3306">
      <w:pPr>
        <w:spacing w:after="0" w:line="360" w:lineRule="auto"/>
        <w:jc w:val="both"/>
      </w:pPr>
      <w:r>
        <w:t xml:space="preserve">c) a költségvetési szervek által foglalkoztatottak éves béren kívüli juttatására továbbra is bruttó 200.000 forint tervezhető. </w:t>
      </w:r>
    </w:p>
    <w:p w:rsidR="00DA3306" w:rsidRDefault="00DA3306" w:rsidP="00DA3306">
      <w:pPr>
        <w:spacing w:after="0" w:line="360" w:lineRule="auto"/>
        <w:jc w:val="both"/>
      </w:pPr>
      <w:r>
        <w:t xml:space="preserve">A személyi jövedelemadó esetében a családi kedvezmény kiterjesztésével a Kormány lehetővé teszi, hogy a családosok a személyi jövedelemadóból igénybe nem vett kedvezményt az egyéni egészségbiztosítási járulékból és a nyugdíjjárulékból érvényesítsék. A személyi jövedelemadóból az adóalaphiány miatt nem érvényesített családi kedvezményt a magánszemélyek a 7 %-os egyéni egészségbiztosítási járulékból és a 10 %-os nyugdíjjárulékból családi járulékkedvezményként érvényesíthetik. </w:t>
      </w:r>
    </w:p>
    <w:p w:rsidR="00DA3306" w:rsidRDefault="009B413F" w:rsidP="00DA3306">
      <w:pPr>
        <w:spacing w:after="0" w:line="360" w:lineRule="auto"/>
        <w:jc w:val="both"/>
      </w:pPr>
      <w:r>
        <w:t>9</w:t>
      </w:r>
      <w:r w:rsidR="0057153B">
        <w:t xml:space="preserve"> fő közalkalmazott decemberi és 11 havi bérével és járulékával terveztünk. A Közfoglalkoztatottak éves átlagos statisztikai állományi létszáma 2,3 fő.</w:t>
      </w:r>
    </w:p>
    <w:p w:rsidR="0057153B" w:rsidRDefault="0057153B" w:rsidP="00DA3306">
      <w:pPr>
        <w:spacing w:after="0" w:line="360" w:lineRule="auto"/>
        <w:jc w:val="both"/>
      </w:pPr>
    </w:p>
    <w:p w:rsidR="00DA3306" w:rsidRPr="00656519" w:rsidRDefault="00DA3306" w:rsidP="00DA3306">
      <w:pPr>
        <w:spacing w:after="0" w:line="360" w:lineRule="auto"/>
        <w:jc w:val="both"/>
        <w:rPr>
          <w:b/>
        </w:rPr>
      </w:pPr>
      <w:r w:rsidRPr="00656519">
        <w:rPr>
          <w:b/>
        </w:rPr>
        <w:t xml:space="preserve">Dologi és egyéb folyó kiadások </w:t>
      </w:r>
    </w:p>
    <w:p w:rsidR="00DA3306" w:rsidRDefault="00DA3306" w:rsidP="00DA3306">
      <w:pPr>
        <w:spacing w:after="0" w:line="360" w:lineRule="auto"/>
        <w:jc w:val="both"/>
      </w:pPr>
    </w:p>
    <w:p w:rsidR="00DA3306" w:rsidRDefault="00DA3306" w:rsidP="00DA3306">
      <w:pPr>
        <w:spacing w:after="0" w:line="360" w:lineRule="auto"/>
        <w:jc w:val="both"/>
      </w:pPr>
      <w:r>
        <w:t xml:space="preserve">A dologi kiadásoknál a 2013. évi költségvetési szinten javasoljuk a tervezést. </w:t>
      </w:r>
    </w:p>
    <w:p w:rsidR="00DA3306" w:rsidRDefault="00DA3306" w:rsidP="00DA3306">
      <w:pPr>
        <w:spacing w:after="0" w:line="360" w:lineRule="auto"/>
        <w:jc w:val="both"/>
      </w:pPr>
      <w:r>
        <w:t xml:space="preserve">Az önkormányzat és intézményei tekintetében meg kell vizsgálni a lehetőséget a legtakarékosabb működtetésre, mindamellett, hogy a feladatellátás biztonsága ne sérüljön. </w:t>
      </w:r>
    </w:p>
    <w:p w:rsidR="00DA3306" w:rsidRDefault="00DA3306" w:rsidP="00DA3306">
      <w:pPr>
        <w:spacing w:after="0" w:line="360" w:lineRule="auto"/>
        <w:jc w:val="both"/>
      </w:pPr>
      <w:r>
        <w:lastRenderedPageBreak/>
        <w:t xml:space="preserve">Az államháztartás számviteléről szóló 4/2013. (I. 11.) Korm. rendelet (a továbbiakban: </w:t>
      </w:r>
      <w:proofErr w:type="spellStart"/>
      <w:r>
        <w:t>Áhsz</w:t>
      </w:r>
      <w:proofErr w:type="spellEnd"/>
      <w:r>
        <w:t xml:space="preserve">.) jelzi az ellátottak pénzbeli juttatásai jogcím változását a pénzbeli és természetbeni családi támogatás fogalom, a betegséggel kapcsolatos ellátás fogalom bevezetésével, amely az önkormányzat szociális ellátásokról és gyermekvédelmi támogatásokról szóló rendeletének módosítását is jelenti. </w:t>
      </w:r>
    </w:p>
    <w:p w:rsidR="00DA3306" w:rsidRDefault="00DA3306" w:rsidP="00DA3306">
      <w:pPr>
        <w:spacing w:after="0" w:line="360" w:lineRule="auto"/>
        <w:jc w:val="both"/>
      </w:pPr>
      <w:r>
        <w:t xml:space="preserve">Az ellátottak pénzbeli juttatásait az </w:t>
      </w:r>
      <w:proofErr w:type="spellStart"/>
      <w:r>
        <w:t>Áhsz</w:t>
      </w:r>
      <w:proofErr w:type="spellEnd"/>
      <w:r>
        <w:t xml:space="preserve">. rendelkezéseinek figyelembevételével, valamint a 2013. évi juttatások elemzésével szükséges tervezni. </w:t>
      </w:r>
    </w:p>
    <w:p w:rsidR="00EB2A14" w:rsidRDefault="00EB2A14" w:rsidP="00DA3306">
      <w:pPr>
        <w:spacing w:after="0" w:line="360" w:lineRule="auto"/>
        <w:jc w:val="both"/>
      </w:pPr>
      <w:r>
        <w:t>A dologi kiadások tervezésének részletes kimutatását az előterjesztés 1</w:t>
      </w:r>
      <w:r w:rsidR="00834267">
        <w:t>7</w:t>
      </w:r>
      <w:r>
        <w:t>. számú melléklete tartalmazza.</w:t>
      </w:r>
    </w:p>
    <w:p w:rsidR="007878F6" w:rsidRDefault="007878F6" w:rsidP="007878F6">
      <w:pPr>
        <w:spacing w:after="0" w:line="360" w:lineRule="auto"/>
        <w:jc w:val="both"/>
        <w:rPr>
          <w:b/>
        </w:rPr>
      </w:pPr>
    </w:p>
    <w:p w:rsidR="007878F6" w:rsidRDefault="007878F6" w:rsidP="007878F6">
      <w:pPr>
        <w:spacing w:after="0" w:line="360" w:lineRule="auto"/>
        <w:jc w:val="both"/>
        <w:rPr>
          <w:b/>
        </w:rPr>
      </w:pPr>
      <w:r>
        <w:rPr>
          <w:b/>
        </w:rPr>
        <w:t>Támogatásértékű kiadások</w:t>
      </w:r>
    </w:p>
    <w:p w:rsidR="003A2F7E" w:rsidRDefault="003A2F7E" w:rsidP="00DA3306">
      <w:pPr>
        <w:spacing w:after="0" w:line="360" w:lineRule="auto"/>
        <w:jc w:val="both"/>
      </w:pPr>
    </w:p>
    <w:p w:rsidR="00DA3306" w:rsidRDefault="007878F6" w:rsidP="00DA3306">
      <w:pPr>
        <w:spacing w:after="0" w:line="360" w:lineRule="auto"/>
        <w:jc w:val="both"/>
      </w:pPr>
      <w:r>
        <w:t xml:space="preserve">Az Óvodafenntartó Társulás működési támogatására </w:t>
      </w:r>
      <w:r w:rsidR="00133ED4">
        <w:t>105.872</w:t>
      </w:r>
      <w:r>
        <w:t xml:space="preserve"> e Ft-ot terveztünk, melyből 8.994 e Ft 2014. évi önkormányzati hozzájárulás, 1.331 e Ft előző évi hozzájárulás, 98.696 e Ft állami feladatalapú támogatás átadása (óvodapedagógus és segítő bértámogatása, óvodaműködtetési támogatás, óvodai gyermekétkeztetés támogatása).</w:t>
      </w:r>
    </w:p>
    <w:p w:rsidR="007878F6" w:rsidRDefault="007878F6" w:rsidP="00DA3306">
      <w:pPr>
        <w:spacing w:after="0" w:line="360" w:lineRule="auto"/>
        <w:jc w:val="both"/>
      </w:pPr>
      <w:r>
        <w:t>Civil szervezetek működési támogatására 2.000 e Ft előirányzatot terveztünk.</w:t>
      </w:r>
    </w:p>
    <w:p w:rsidR="007878F6" w:rsidRDefault="007878F6" w:rsidP="00DA3306">
      <w:pPr>
        <w:spacing w:after="0" w:line="360" w:lineRule="auto"/>
        <w:jc w:val="both"/>
      </w:pPr>
      <w:r>
        <w:t xml:space="preserve">A családsegítés társulási formában működik, erre a feladatra 300 e Ft-ot terveztünk. Ilyen formában a háziorvosi ügyeletre 570 e Ft-ot terveztünk. </w:t>
      </w:r>
    </w:p>
    <w:p w:rsidR="007878F6" w:rsidRDefault="007878F6" w:rsidP="00DA3306">
      <w:pPr>
        <w:spacing w:after="0" w:line="360" w:lineRule="auto"/>
        <w:jc w:val="both"/>
      </w:pPr>
      <w:r>
        <w:t>Támogatásértékű kiadások összesen 110.560 e Ft.</w:t>
      </w:r>
    </w:p>
    <w:p w:rsidR="003A2F7E" w:rsidRDefault="003A2F7E" w:rsidP="003A2F7E">
      <w:pPr>
        <w:spacing w:after="0" w:line="240" w:lineRule="auto"/>
        <w:rPr>
          <w:rFonts w:eastAsia="Times New Roman" w:cs="Times New Roman CE"/>
          <w:b/>
        </w:rPr>
      </w:pPr>
    </w:p>
    <w:p w:rsidR="003A2F7E" w:rsidRPr="003A2F7E" w:rsidRDefault="003A2F7E" w:rsidP="003A2F7E">
      <w:pPr>
        <w:spacing w:after="0" w:line="240" w:lineRule="auto"/>
        <w:rPr>
          <w:rFonts w:eastAsia="Times New Roman" w:cs="Times New Roman CE"/>
          <w:b/>
        </w:rPr>
      </w:pPr>
      <w:r w:rsidRPr="003A2F7E">
        <w:rPr>
          <w:rFonts w:eastAsia="Times New Roman" w:cs="Times New Roman CE"/>
          <w:b/>
        </w:rPr>
        <w:t>Társadalom- és szociálpolitikai juttatások</w:t>
      </w:r>
    </w:p>
    <w:p w:rsidR="00F30200" w:rsidRDefault="00F30200" w:rsidP="00DA3306">
      <w:pPr>
        <w:spacing w:after="0" w:line="360" w:lineRule="auto"/>
        <w:jc w:val="both"/>
      </w:pPr>
    </w:p>
    <w:p w:rsidR="003A2F7E" w:rsidRDefault="003A2F7E" w:rsidP="00DA3306">
      <w:pPr>
        <w:spacing w:after="0" w:line="360" w:lineRule="auto"/>
        <w:jc w:val="both"/>
      </w:pPr>
      <w:r>
        <w:t xml:space="preserve">Aktív korúak ellátására 1.250 e Ft-ot terveztünk, lakásfenntartási támogatásra 677 e Ft-ot, méltányossági ápolási díjra 100 e Ft-ot, önkormányzati segélyre (temetési segély, átmeneti segély, köztemetés) 250 e Ft-ot. </w:t>
      </w:r>
    </w:p>
    <w:p w:rsidR="003A2F7E" w:rsidRDefault="003A2F7E" w:rsidP="00DA3306">
      <w:pPr>
        <w:spacing w:after="0" w:line="360" w:lineRule="auto"/>
        <w:jc w:val="both"/>
      </w:pPr>
    </w:p>
    <w:p w:rsidR="003D0528" w:rsidRDefault="003D0528" w:rsidP="003D0528">
      <w:pPr>
        <w:spacing w:after="0" w:line="360" w:lineRule="auto"/>
        <w:jc w:val="both"/>
        <w:rPr>
          <w:b/>
        </w:rPr>
      </w:pPr>
      <w:r>
        <w:rPr>
          <w:b/>
        </w:rPr>
        <w:t>Felhalmozási kiadások</w:t>
      </w: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1860"/>
        <w:gridCol w:w="2200"/>
      </w:tblGrid>
      <w:tr w:rsidR="003D0528" w:rsidRPr="003D0528" w:rsidTr="00CF18AF">
        <w:trPr>
          <w:trHeight w:val="364"/>
        </w:trPr>
        <w:tc>
          <w:tcPr>
            <w:tcW w:w="4280" w:type="dxa"/>
            <w:shd w:val="clear" w:color="auto" w:fill="auto"/>
            <w:vAlign w:val="center"/>
            <w:hideMark/>
          </w:tcPr>
          <w:p w:rsidR="003D0528" w:rsidRPr="003D0528" w:rsidRDefault="003D0528" w:rsidP="003D0528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</w:rPr>
            </w:pPr>
            <w:r w:rsidRPr="003D0528">
              <w:rPr>
                <w:rFonts w:ascii="Times New Roman CE" w:eastAsia="Times New Roman" w:hAnsi="Times New Roman CE" w:cs="Times New Roman CE"/>
              </w:rPr>
              <w:t>Kistérségi Közlekedés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3D0528" w:rsidRPr="003D0528" w:rsidRDefault="003D0528" w:rsidP="003D052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D0528" w:rsidRPr="003D0528" w:rsidRDefault="003D0528" w:rsidP="003D052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</w:rPr>
            </w:pPr>
            <w:r w:rsidRPr="003D0528">
              <w:rPr>
                <w:rFonts w:ascii="Times New Roman CE" w:eastAsia="Times New Roman" w:hAnsi="Times New Roman CE" w:cs="Times New Roman CE"/>
              </w:rPr>
              <w:t>12 700</w:t>
            </w:r>
          </w:p>
        </w:tc>
      </w:tr>
      <w:tr w:rsidR="003D0528" w:rsidRPr="003D0528" w:rsidTr="00CF18AF">
        <w:trPr>
          <w:trHeight w:val="129"/>
        </w:trPr>
        <w:tc>
          <w:tcPr>
            <w:tcW w:w="42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D0528" w:rsidRPr="003D0528" w:rsidRDefault="003D0528" w:rsidP="003D0528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</w:rPr>
            </w:pPr>
            <w:r w:rsidRPr="003D0528">
              <w:rPr>
                <w:rFonts w:ascii="Times New Roman CE" w:eastAsia="Times New Roman" w:hAnsi="Times New Roman CE" w:cs="Times New Roman CE"/>
              </w:rPr>
              <w:t>NKA szobor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</w:tcPr>
          <w:p w:rsidR="003D0528" w:rsidRPr="003D0528" w:rsidRDefault="003D0528" w:rsidP="003D052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D0528" w:rsidRPr="003D0528" w:rsidRDefault="003D0528" w:rsidP="003D052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</w:rPr>
            </w:pPr>
            <w:r w:rsidRPr="003D0528">
              <w:rPr>
                <w:rFonts w:ascii="Times New Roman CE" w:eastAsia="Times New Roman" w:hAnsi="Times New Roman CE" w:cs="Times New Roman CE"/>
              </w:rPr>
              <w:t>2 271</w:t>
            </w:r>
          </w:p>
        </w:tc>
      </w:tr>
      <w:tr w:rsidR="003D0528" w:rsidRPr="003D0528" w:rsidTr="00CF18AF">
        <w:trPr>
          <w:trHeight w:val="316"/>
        </w:trPr>
        <w:tc>
          <w:tcPr>
            <w:tcW w:w="42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D0528" w:rsidRPr="003D0528" w:rsidRDefault="003D0528" w:rsidP="003D0528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</w:rPr>
            </w:pPr>
            <w:proofErr w:type="spellStart"/>
            <w:r w:rsidRPr="003D0528">
              <w:rPr>
                <w:rFonts w:ascii="Times New Roman CE" w:eastAsia="Times New Roman" w:hAnsi="Times New Roman CE" w:cs="Times New Roman CE"/>
              </w:rPr>
              <w:t>Közsgéháza</w:t>
            </w:r>
            <w:proofErr w:type="spellEnd"/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</w:tcPr>
          <w:p w:rsidR="003D0528" w:rsidRPr="003D0528" w:rsidRDefault="003D0528" w:rsidP="003D052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D0528" w:rsidRPr="003D0528" w:rsidRDefault="003D0528" w:rsidP="003D052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</w:rPr>
            </w:pPr>
            <w:r w:rsidRPr="003D0528">
              <w:rPr>
                <w:rFonts w:ascii="Times New Roman CE" w:eastAsia="Times New Roman" w:hAnsi="Times New Roman CE" w:cs="Times New Roman CE"/>
              </w:rPr>
              <w:t>4 846</w:t>
            </w:r>
          </w:p>
        </w:tc>
      </w:tr>
      <w:tr w:rsidR="003D0528" w:rsidRPr="003D0528" w:rsidTr="00CF18AF">
        <w:trPr>
          <w:trHeight w:val="279"/>
        </w:trPr>
        <w:tc>
          <w:tcPr>
            <w:tcW w:w="42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D0528" w:rsidRPr="003D0528" w:rsidRDefault="003D0528" w:rsidP="003D0528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</w:rPr>
            </w:pPr>
            <w:r w:rsidRPr="003D0528">
              <w:rPr>
                <w:rFonts w:ascii="Times New Roman CE" w:eastAsia="Times New Roman" w:hAnsi="Times New Roman CE" w:cs="Times New Roman CE"/>
              </w:rPr>
              <w:t>Piac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</w:tcPr>
          <w:p w:rsidR="003D0528" w:rsidRPr="003D0528" w:rsidRDefault="003D0528" w:rsidP="003D052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D0528" w:rsidRPr="003D0528" w:rsidRDefault="003D0528" w:rsidP="003D052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</w:rPr>
            </w:pPr>
            <w:r w:rsidRPr="003D0528">
              <w:rPr>
                <w:rFonts w:ascii="Times New Roman CE" w:eastAsia="Times New Roman" w:hAnsi="Times New Roman CE" w:cs="Times New Roman CE"/>
              </w:rPr>
              <w:t>5 102</w:t>
            </w:r>
          </w:p>
        </w:tc>
      </w:tr>
      <w:tr w:rsidR="003D0528" w:rsidRPr="003D0528" w:rsidTr="00CF18AF">
        <w:trPr>
          <w:trHeight w:val="282"/>
        </w:trPr>
        <w:tc>
          <w:tcPr>
            <w:tcW w:w="42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D0528" w:rsidRPr="003D0528" w:rsidRDefault="003D0528" w:rsidP="003D0528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</w:rPr>
            </w:pPr>
            <w:r w:rsidRPr="003D0528">
              <w:rPr>
                <w:rFonts w:ascii="Times New Roman CE" w:eastAsia="Times New Roman" w:hAnsi="Times New Roman CE" w:cs="Times New Roman CE"/>
              </w:rPr>
              <w:t>Csapadékvíz elvezetés DDOP</w:t>
            </w:r>
          </w:p>
        </w:tc>
        <w:tc>
          <w:tcPr>
            <w:tcW w:w="18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D0528" w:rsidRPr="003D0528" w:rsidRDefault="003D0528" w:rsidP="003D052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D0528" w:rsidRPr="003D0528" w:rsidRDefault="003D0528" w:rsidP="003D052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</w:rPr>
            </w:pPr>
            <w:r w:rsidRPr="003D0528">
              <w:rPr>
                <w:rFonts w:ascii="Times New Roman CE" w:eastAsia="Times New Roman" w:hAnsi="Times New Roman CE" w:cs="Times New Roman CE"/>
              </w:rPr>
              <w:t>205 681</w:t>
            </w:r>
          </w:p>
        </w:tc>
      </w:tr>
      <w:tr w:rsidR="003D0528" w:rsidRPr="003D0528" w:rsidTr="003D0528">
        <w:trPr>
          <w:trHeight w:val="390"/>
        </w:trPr>
        <w:tc>
          <w:tcPr>
            <w:tcW w:w="42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28" w:rsidRPr="003D0528" w:rsidRDefault="003D0528" w:rsidP="003D052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28" w:rsidRPr="003D0528" w:rsidRDefault="003D0528" w:rsidP="003D052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28" w:rsidRPr="003D0528" w:rsidRDefault="003D0528" w:rsidP="003D052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</w:tr>
      <w:tr w:rsidR="003D0528" w:rsidRPr="003D0528" w:rsidTr="003D0528">
        <w:trPr>
          <w:trHeight w:val="390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28" w:rsidRPr="003D0528" w:rsidRDefault="003D0528" w:rsidP="00CF18A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 xml:space="preserve">Civil szervezeteknek átadott felhalmozási jellegű </w:t>
            </w:r>
            <w:r w:rsidR="00CF18A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>kölcsön</w:t>
            </w:r>
          </w:p>
        </w:tc>
      </w:tr>
      <w:tr w:rsidR="003D0528" w:rsidRPr="003D0528" w:rsidTr="001603F7">
        <w:trPr>
          <w:trHeight w:val="354"/>
        </w:trPr>
        <w:tc>
          <w:tcPr>
            <w:tcW w:w="42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D0528" w:rsidRPr="003D0528" w:rsidRDefault="003D0528" w:rsidP="003D0528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</w:rPr>
            </w:pPr>
            <w:r w:rsidRPr="003D0528">
              <w:rPr>
                <w:rFonts w:ascii="Times New Roman CE" w:eastAsia="Times New Roman" w:hAnsi="Times New Roman CE" w:cs="Times New Roman CE"/>
              </w:rPr>
              <w:t>Sióagárd Jövője Alapítvány - Civil Ház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</w:tcPr>
          <w:p w:rsidR="003D0528" w:rsidRPr="003D0528" w:rsidRDefault="003D0528" w:rsidP="003D052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D0528" w:rsidRPr="003D0528" w:rsidRDefault="003D0528" w:rsidP="003D052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</w:rPr>
            </w:pPr>
            <w:r w:rsidRPr="003D0528">
              <w:rPr>
                <w:rFonts w:ascii="Times New Roman CE" w:eastAsia="Times New Roman" w:hAnsi="Times New Roman CE" w:cs="Times New Roman CE"/>
              </w:rPr>
              <w:t>9 507</w:t>
            </w:r>
          </w:p>
        </w:tc>
      </w:tr>
      <w:tr w:rsidR="003D0528" w:rsidRPr="003D0528" w:rsidTr="001603F7">
        <w:trPr>
          <w:trHeight w:val="713"/>
        </w:trPr>
        <w:tc>
          <w:tcPr>
            <w:tcW w:w="42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D0528" w:rsidRPr="003D0528" w:rsidRDefault="003D0528" w:rsidP="003D0528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</w:rPr>
            </w:pPr>
            <w:r w:rsidRPr="003D0528">
              <w:rPr>
                <w:rFonts w:ascii="Times New Roman CE" w:eastAsia="Times New Roman" w:hAnsi="Times New Roman CE" w:cs="Times New Roman CE"/>
              </w:rPr>
              <w:t>Sióagárdi Hagyományőrző Egyesült - Hagyományok Háza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</w:tcPr>
          <w:p w:rsidR="003D0528" w:rsidRPr="003D0528" w:rsidRDefault="003D0528" w:rsidP="003D052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D0528" w:rsidRPr="003D0528" w:rsidRDefault="003D0528" w:rsidP="003D052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</w:rPr>
            </w:pPr>
            <w:r w:rsidRPr="003D0528">
              <w:rPr>
                <w:rFonts w:ascii="Times New Roman CE" w:eastAsia="Times New Roman" w:hAnsi="Times New Roman CE" w:cs="Times New Roman CE"/>
              </w:rPr>
              <w:t>9 964</w:t>
            </w:r>
          </w:p>
        </w:tc>
      </w:tr>
      <w:tr w:rsidR="003D0528" w:rsidRPr="003D0528" w:rsidTr="003D0528">
        <w:trPr>
          <w:trHeight w:val="255"/>
        </w:trPr>
        <w:tc>
          <w:tcPr>
            <w:tcW w:w="42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D0528" w:rsidRPr="003D0528" w:rsidRDefault="003D0528" w:rsidP="003D0528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</w:rPr>
            </w:pPr>
            <w:r w:rsidRPr="003D0528">
              <w:rPr>
                <w:rFonts w:ascii="Times New Roman CE" w:eastAsia="Times New Roman" w:hAnsi="Times New Roman CE" w:cs="Times New Roman CE"/>
              </w:rPr>
              <w:lastRenderedPageBreak/>
              <w:t>Sióagárdi Sportegyesület - Sportpálya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</w:tcPr>
          <w:p w:rsidR="003D0528" w:rsidRPr="003D0528" w:rsidRDefault="003D0528" w:rsidP="003D052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D0528" w:rsidRPr="003D0528" w:rsidRDefault="003D0528" w:rsidP="003D052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</w:rPr>
            </w:pPr>
            <w:r w:rsidRPr="003D0528">
              <w:rPr>
                <w:rFonts w:ascii="Times New Roman CE" w:eastAsia="Times New Roman" w:hAnsi="Times New Roman CE" w:cs="Times New Roman CE"/>
              </w:rPr>
              <w:t>3 333</w:t>
            </w:r>
          </w:p>
        </w:tc>
      </w:tr>
      <w:tr w:rsidR="003D0528" w:rsidRPr="003D0528" w:rsidTr="003D0528">
        <w:trPr>
          <w:trHeight w:val="270"/>
        </w:trPr>
        <w:tc>
          <w:tcPr>
            <w:tcW w:w="42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D0528" w:rsidRDefault="003D0528" w:rsidP="003D0528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</w:rPr>
            </w:pPr>
            <w:r w:rsidRPr="003D0528">
              <w:rPr>
                <w:rFonts w:ascii="Times New Roman CE" w:eastAsia="Times New Roman" w:hAnsi="Times New Roman CE" w:cs="Times New Roman CE"/>
              </w:rPr>
              <w:t> </w:t>
            </w:r>
          </w:p>
          <w:p w:rsidR="00CF18AF" w:rsidRDefault="00CF18AF" w:rsidP="003D0528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</w:rPr>
            </w:pPr>
          </w:p>
          <w:p w:rsidR="00CF18AF" w:rsidRDefault="00CF18AF" w:rsidP="003D0528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</w:rPr>
            </w:pPr>
          </w:p>
          <w:p w:rsidR="00CF18AF" w:rsidRDefault="00CF18AF" w:rsidP="003D0528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</w:rPr>
            </w:pPr>
          </w:p>
          <w:p w:rsidR="00CF18AF" w:rsidRDefault="00CF18AF" w:rsidP="003D0528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</w:rPr>
            </w:pPr>
          </w:p>
          <w:p w:rsidR="00CF18AF" w:rsidRPr="003D0528" w:rsidRDefault="00CF18AF" w:rsidP="003D0528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D0528" w:rsidRPr="003D0528" w:rsidRDefault="003D0528" w:rsidP="003D0528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  <w:r w:rsidRPr="003D0528">
              <w:rPr>
                <w:rFonts w:ascii="Times New Roman CE" w:eastAsia="Times New Roman" w:hAnsi="Times New Roman CE" w:cs="Times New Roman CE"/>
              </w:rPr>
              <w:t> 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D0528" w:rsidRPr="003D0528" w:rsidRDefault="003D0528" w:rsidP="003D0528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  <w:r w:rsidRPr="003D0528">
              <w:rPr>
                <w:rFonts w:ascii="Times New Roman CE" w:eastAsia="Times New Roman" w:hAnsi="Times New Roman CE" w:cs="Times New Roman CE"/>
              </w:rPr>
              <w:t> </w:t>
            </w:r>
          </w:p>
        </w:tc>
      </w:tr>
    </w:tbl>
    <w:p w:rsidR="009B413F" w:rsidRDefault="009B413F" w:rsidP="009B413F">
      <w:pPr>
        <w:spacing w:after="0" w:line="360" w:lineRule="auto"/>
        <w:jc w:val="both"/>
        <w:rPr>
          <w:b/>
        </w:rPr>
      </w:pPr>
      <w:r>
        <w:rPr>
          <w:b/>
        </w:rPr>
        <w:t>Tartalékok</w:t>
      </w:r>
    </w:p>
    <w:p w:rsidR="003A2F7E" w:rsidRDefault="003A2F7E" w:rsidP="009B413F">
      <w:pPr>
        <w:spacing w:after="0" w:line="360" w:lineRule="auto"/>
        <w:jc w:val="both"/>
      </w:pPr>
    </w:p>
    <w:p w:rsidR="009B413F" w:rsidRPr="009B413F" w:rsidRDefault="009B413F" w:rsidP="009B413F">
      <w:pPr>
        <w:spacing w:after="0" w:line="360" w:lineRule="auto"/>
        <w:jc w:val="both"/>
      </w:pPr>
      <w:r>
        <w:t xml:space="preserve">Működési célú tartalékra tervezett összeg 1.331 e Ft. Az Óvodafenntartó Társulás működési célú támogatásértékű átadandó összeggel </w:t>
      </w:r>
      <w:r w:rsidR="0022701C">
        <w:t xml:space="preserve">Kistormás Önkormányzata tartozik, melynek megvalósulása a tervezéskor kétséges, ezért ezzel az összeggel kiadási előirányzatot nem terveztünk. </w:t>
      </w:r>
      <w:r w:rsidR="003D0528">
        <w:t>2013. évi pénzmaradványból 1.763 e Ft.</w:t>
      </w:r>
    </w:p>
    <w:p w:rsidR="009B413F" w:rsidRDefault="0022701C" w:rsidP="00DA3306">
      <w:pPr>
        <w:spacing w:after="0" w:line="360" w:lineRule="auto"/>
        <w:jc w:val="both"/>
      </w:pPr>
      <w:r>
        <w:t xml:space="preserve">Fejlesztési célú tartalékot az alábbi projektek önerejére terveztünk 9.358 e Ft-ban. </w:t>
      </w:r>
    </w:p>
    <w:tbl>
      <w:tblPr>
        <w:tblW w:w="6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1420"/>
      </w:tblGrid>
      <w:tr w:rsidR="0022701C" w:rsidRPr="001603F7" w:rsidTr="0022701C">
        <w:trPr>
          <w:trHeight w:val="360"/>
        </w:trPr>
        <w:tc>
          <w:tcPr>
            <w:tcW w:w="5140" w:type="dxa"/>
            <w:shd w:val="clear" w:color="auto" w:fill="auto"/>
            <w:vAlign w:val="center"/>
            <w:hideMark/>
          </w:tcPr>
          <w:p w:rsidR="0022701C" w:rsidRPr="001603F7" w:rsidRDefault="0022701C" w:rsidP="0022701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</w:rPr>
            </w:pPr>
            <w:r w:rsidRPr="001603F7">
              <w:rPr>
                <w:rFonts w:ascii="Times New Roman CE" w:eastAsia="Times New Roman" w:hAnsi="Times New Roman CE" w:cs="Times New Roman CE"/>
              </w:rPr>
              <w:t>Községháza felújítás 2. ütem önerő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2701C" w:rsidRPr="001603F7" w:rsidRDefault="0022701C" w:rsidP="0022701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</w:rPr>
            </w:pPr>
            <w:r w:rsidRPr="001603F7">
              <w:rPr>
                <w:rFonts w:ascii="Times New Roman CE" w:eastAsia="Times New Roman" w:hAnsi="Times New Roman CE" w:cs="Times New Roman CE"/>
              </w:rPr>
              <w:t>2 275</w:t>
            </w:r>
          </w:p>
        </w:tc>
      </w:tr>
      <w:tr w:rsidR="0022701C" w:rsidRPr="001603F7" w:rsidTr="0022701C">
        <w:trPr>
          <w:trHeight w:val="360"/>
        </w:trPr>
        <w:tc>
          <w:tcPr>
            <w:tcW w:w="5140" w:type="dxa"/>
            <w:shd w:val="clear" w:color="auto" w:fill="auto"/>
            <w:vAlign w:val="center"/>
            <w:hideMark/>
          </w:tcPr>
          <w:p w:rsidR="0022701C" w:rsidRPr="001603F7" w:rsidRDefault="0022701C" w:rsidP="0022701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</w:rPr>
            </w:pPr>
            <w:r w:rsidRPr="001603F7">
              <w:rPr>
                <w:rFonts w:ascii="Times New Roman CE" w:eastAsia="Times New Roman" w:hAnsi="Times New Roman CE" w:cs="Times New Roman CE"/>
              </w:rPr>
              <w:t>Községháza fűtéskorszerűsítés önerő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2701C" w:rsidRPr="001603F7" w:rsidRDefault="0022701C" w:rsidP="0022701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</w:rPr>
            </w:pPr>
            <w:r w:rsidRPr="001603F7">
              <w:rPr>
                <w:rFonts w:ascii="Times New Roman CE" w:eastAsia="Times New Roman" w:hAnsi="Times New Roman CE" w:cs="Times New Roman CE"/>
              </w:rPr>
              <w:t>1 500</w:t>
            </w:r>
          </w:p>
        </w:tc>
      </w:tr>
      <w:tr w:rsidR="0022701C" w:rsidRPr="001603F7" w:rsidTr="0022701C">
        <w:trPr>
          <w:trHeight w:val="360"/>
        </w:trPr>
        <w:tc>
          <w:tcPr>
            <w:tcW w:w="5140" w:type="dxa"/>
            <w:shd w:val="clear" w:color="auto" w:fill="auto"/>
            <w:vAlign w:val="center"/>
            <w:hideMark/>
          </w:tcPr>
          <w:p w:rsidR="0022701C" w:rsidRPr="001603F7" w:rsidRDefault="0022701C" w:rsidP="0022701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</w:rPr>
            </w:pPr>
            <w:r w:rsidRPr="001603F7">
              <w:rPr>
                <w:rFonts w:ascii="Times New Roman CE" w:eastAsia="Times New Roman" w:hAnsi="Times New Roman CE" w:cs="Times New Roman CE"/>
              </w:rPr>
              <w:t>Óvoda felújítás pályázat önerő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2701C" w:rsidRPr="001603F7" w:rsidRDefault="0022701C" w:rsidP="0022701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</w:rPr>
            </w:pPr>
            <w:r w:rsidRPr="001603F7">
              <w:rPr>
                <w:rFonts w:ascii="Times New Roman CE" w:eastAsia="Times New Roman" w:hAnsi="Times New Roman CE" w:cs="Times New Roman CE"/>
              </w:rPr>
              <w:t>1 326</w:t>
            </w:r>
          </w:p>
        </w:tc>
      </w:tr>
      <w:tr w:rsidR="0022701C" w:rsidRPr="001603F7" w:rsidTr="0022701C">
        <w:trPr>
          <w:trHeight w:val="360"/>
        </w:trPr>
        <w:tc>
          <w:tcPr>
            <w:tcW w:w="5140" w:type="dxa"/>
            <w:shd w:val="clear" w:color="auto" w:fill="auto"/>
            <w:vAlign w:val="center"/>
            <w:hideMark/>
          </w:tcPr>
          <w:p w:rsidR="0022701C" w:rsidRPr="001603F7" w:rsidRDefault="0022701C" w:rsidP="0022701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</w:rPr>
            </w:pPr>
            <w:r w:rsidRPr="001603F7">
              <w:rPr>
                <w:rFonts w:ascii="Times New Roman CE" w:eastAsia="Times New Roman" w:hAnsi="Times New Roman CE" w:cs="Times New Roman CE"/>
              </w:rPr>
              <w:t>Intézmények energia-racionalizációs pályázati önerő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2701C" w:rsidRPr="001603F7" w:rsidRDefault="0022701C" w:rsidP="0022701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</w:rPr>
            </w:pPr>
            <w:r w:rsidRPr="001603F7">
              <w:rPr>
                <w:rFonts w:ascii="Times New Roman CE" w:eastAsia="Times New Roman" w:hAnsi="Times New Roman CE" w:cs="Times New Roman CE"/>
              </w:rPr>
              <w:t>2 757</w:t>
            </w:r>
          </w:p>
        </w:tc>
      </w:tr>
    </w:tbl>
    <w:p w:rsidR="00EB2A14" w:rsidRDefault="00EB2A14" w:rsidP="00DA3306">
      <w:pPr>
        <w:spacing w:after="0" w:line="360" w:lineRule="auto"/>
        <w:jc w:val="both"/>
      </w:pPr>
    </w:p>
    <w:p w:rsidR="003D0528" w:rsidRDefault="003D0528" w:rsidP="00DA3306">
      <w:pPr>
        <w:spacing w:after="0" w:line="360" w:lineRule="auto"/>
        <w:jc w:val="both"/>
      </w:pPr>
    </w:p>
    <w:p w:rsidR="003D0528" w:rsidRDefault="003D0528" w:rsidP="00DA3306">
      <w:pPr>
        <w:spacing w:after="0" w:line="360" w:lineRule="auto"/>
        <w:jc w:val="both"/>
      </w:pPr>
    </w:p>
    <w:p w:rsidR="0022701C" w:rsidRDefault="0022701C" w:rsidP="0022701C">
      <w:pPr>
        <w:spacing w:after="0" w:line="360" w:lineRule="auto"/>
        <w:jc w:val="both"/>
        <w:rPr>
          <w:b/>
        </w:rPr>
      </w:pPr>
      <w:r>
        <w:rPr>
          <w:b/>
        </w:rPr>
        <w:t>Hitelek</w:t>
      </w:r>
    </w:p>
    <w:p w:rsidR="0022701C" w:rsidRPr="0022701C" w:rsidRDefault="0022701C" w:rsidP="0022701C">
      <w:pPr>
        <w:spacing w:after="0" w:line="360" w:lineRule="auto"/>
        <w:jc w:val="both"/>
      </w:pPr>
      <w:r>
        <w:t xml:space="preserve">Az önkormányzat, illetve a civil szervezetek által megvalósuló projektek likviditási helyzetének biztosítása érdekében szükséges lehet folyószámlahitel igénybevételére. </w:t>
      </w:r>
    </w:p>
    <w:p w:rsidR="003D0528" w:rsidRDefault="003D0528" w:rsidP="00DA3306">
      <w:pPr>
        <w:spacing w:after="0" w:line="360" w:lineRule="auto"/>
        <w:jc w:val="both"/>
        <w:rPr>
          <w:b/>
        </w:rPr>
      </w:pPr>
    </w:p>
    <w:p w:rsidR="00DA3306" w:rsidRPr="00656519" w:rsidRDefault="00DA3306" w:rsidP="00DA3306">
      <w:pPr>
        <w:spacing w:after="0" w:line="360" w:lineRule="auto"/>
        <w:jc w:val="both"/>
        <w:rPr>
          <w:b/>
        </w:rPr>
      </w:pPr>
      <w:r w:rsidRPr="00656519">
        <w:rPr>
          <w:b/>
        </w:rPr>
        <w:t xml:space="preserve">Új számviteli rendszer </w:t>
      </w:r>
    </w:p>
    <w:p w:rsidR="00DA3306" w:rsidRDefault="00DA3306" w:rsidP="00DA3306">
      <w:pPr>
        <w:spacing w:after="0" w:line="360" w:lineRule="auto"/>
        <w:jc w:val="both"/>
      </w:pPr>
    </w:p>
    <w:p w:rsidR="00DA3306" w:rsidRDefault="00DA3306" w:rsidP="00DA3306">
      <w:pPr>
        <w:spacing w:after="0" w:line="360" w:lineRule="auto"/>
        <w:jc w:val="both"/>
      </w:pPr>
      <w:r>
        <w:t xml:space="preserve">2014. január 1-től az </w:t>
      </w:r>
      <w:proofErr w:type="spellStart"/>
      <w:r>
        <w:t>Áhsz</w:t>
      </w:r>
      <w:proofErr w:type="spellEnd"/>
      <w:r>
        <w:t xml:space="preserve">. szabályozza a könyvvezetési és a beszámolási kötelezettséget, a korábbi számviteli rendszer teljes átalakításával. Az új számviteli rendszer a tagállamok költségvetési keretrendszerére vonatkozó követelményekről szóló 2011/85/EU (2011. november 8.) tanácsi irányelvvel összhangban a bevételeket és a kiadásokat az államháztartásról szóló törvény értelmében adminisztratív, közgazdasági és funkcionális osztályozás szerint tartja nyilván. Ugyanakkor a pénzforgalmi szemlélet mellett megjelenik az eredményszemlélet is, amelyben </w:t>
      </w:r>
      <w:proofErr w:type="spellStart"/>
      <w:r>
        <w:t>ülön-külön</w:t>
      </w:r>
      <w:proofErr w:type="spellEnd"/>
      <w:r>
        <w:t xml:space="preserve"> szükséges bemutatni a költségvetési, illetve a pénzügyi-számviteli adatokat. A korábbi szakfeladat-rend mellett megjelenik egy kormányzatai funkció (COFOG) szerinti osztályozás is, amely a tagállamok adatainak összehasonlíthatóságát biztosítja. Az egységes számlakeret az alábbiak szerint szolgáltat adatot a kétféle számbavételi rendszernek. A nagyarányú változás mind a kiadási, mind a bevételi előirányzatok tervezésére hatást gyakorol. A folyamat egyszerűsödésére nem lehet számítani. </w:t>
      </w:r>
      <w:r w:rsidR="00656519">
        <w:t>A</w:t>
      </w:r>
      <w:r>
        <w:t xml:space="preserve">z </w:t>
      </w:r>
      <w:r>
        <w:lastRenderedPageBreak/>
        <w:t xml:space="preserve">elemi költségvetés elkészítése érdekében ún. rovatrendet is alkalmazni kell a bevételi és a kiadási előirányzatok elkülönítésére. </w:t>
      </w:r>
    </w:p>
    <w:p w:rsidR="00DA3306" w:rsidRDefault="00DA3306" w:rsidP="00DA3306">
      <w:pPr>
        <w:spacing w:after="0" w:line="360" w:lineRule="auto"/>
        <w:jc w:val="both"/>
      </w:pPr>
    </w:p>
    <w:p w:rsidR="00DA3306" w:rsidRDefault="00EB2A14" w:rsidP="00DA3306">
      <w:pPr>
        <w:spacing w:after="0" w:line="360" w:lineRule="auto"/>
        <w:jc w:val="both"/>
      </w:pPr>
      <w:r>
        <w:t xml:space="preserve">Sióagárd </w:t>
      </w:r>
      <w:r w:rsidR="00DA3306">
        <w:t xml:space="preserve">község Önkormányzatának 2014. évi fő célja az kell, hogy legyen, hogy az önkormányzat működőképességét megőrizze, biztosítsa az eddigi szolgáltatások színvonalának fenntartását, valamint a fejlesztési lehetőségek ésszerű, szükségletekhez igazodó kihasználását, a gazdaságos, eredményes, hatékony gazdálkodást. </w:t>
      </w:r>
    </w:p>
    <w:p w:rsidR="00DA3306" w:rsidRDefault="00DA3306" w:rsidP="00DA3306">
      <w:pPr>
        <w:spacing w:after="0" w:line="360" w:lineRule="auto"/>
        <w:jc w:val="both"/>
      </w:pPr>
    </w:p>
    <w:p w:rsidR="00656519" w:rsidRDefault="00656519" w:rsidP="00DA3306">
      <w:pPr>
        <w:spacing w:after="0" w:line="360" w:lineRule="auto"/>
        <w:jc w:val="both"/>
      </w:pPr>
    </w:p>
    <w:p w:rsidR="000F0EB7" w:rsidRDefault="00DA3306" w:rsidP="00DA3306">
      <w:pPr>
        <w:spacing w:after="0" w:line="360" w:lineRule="auto"/>
        <w:jc w:val="both"/>
      </w:pPr>
      <w:r>
        <w:t xml:space="preserve">Kérem a Tisztelt Képviselő-testületet, hogy a fenti előterjesztést vitassa meg, és tegyen javaslatot a 2014. évi költségvetési rendelet </w:t>
      </w:r>
      <w:r w:rsidR="00656519">
        <w:t>elfogadására.</w:t>
      </w:r>
    </w:p>
    <w:sectPr w:rsidR="000F0EB7" w:rsidSect="000F0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06"/>
    <w:rsid w:val="000F0EB7"/>
    <w:rsid w:val="00133ED4"/>
    <w:rsid w:val="001603F7"/>
    <w:rsid w:val="001A2A74"/>
    <w:rsid w:val="0022701C"/>
    <w:rsid w:val="00371995"/>
    <w:rsid w:val="003A2F7E"/>
    <w:rsid w:val="003D0528"/>
    <w:rsid w:val="00514D35"/>
    <w:rsid w:val="0057153B"/>
    <w:rsid w:val="005A1046"/>
    <w:rsid w:val="00656519"/>
    <w:rsid w:val="007878F6"/>
    <w:rsid w:val="00834267"/>
    <w:rsid w:val="00865A09"/>
    <w:rsid w:val="009B413F"/>
    <w:rsid w:val="00CF18AF"/>
    <w:rsid w:val="00D41445"/>
    <w:rsid w:val="00DA3306"/>
    <w:rsid w:val="00DF2826"/>
    <w:rsid w:val="00EB2A14"/>
    <w:rsid w:val="00F30200"/>
    <w:rsid w:val="00F85A55"/>
    <w:rsid w:val="00FB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2593</Words>
  <Characters>17893</Characters>
  <Application>Microsoft Office Word</Application>
  <DocSecurity>0</DocSecurity>
  <Lines>149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ALJEGYZŐ</cp:lastModifiedBy>
  <cp:revision>4</cp:revision>
  <dcterms:created xsi:type="dcterms:W3CDTF">2014-01-28T12:52:00Z</dcterms:created>
  <dcterms:modified xsi:type="dcterms:W3CDTF">2014-01-28T15:09:00Z</dcterms:modified>
</cp:coreProperties>
</file>